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F1ABC" w14:textId="581C1DBE" w:rsidR="00D40B8F" w:rsidRPr="00B03142" w:rsidRDefault="00D40B8F" w:rsidP="00D40B8F">
      <w:pPr>
        <w:jc w:val="center"/>
        <w:rPr>
          <w:b/>
        </w:rPr>
      </w:pPr>
      <w:r w:rsidRPr="00B03142">
        <w:rPr>
          <w:b/>
        </w:rPr>
        <w:t xml:space="preserve">ŠIAULIŲ </w:t>
      </w:r>
      <w:r>
        <w:rPr>
          <w:b/>
        </w:rPr>
        <w:t>DAILĖS GALERIJA</w:t>
      </w:r>
    </w:p>
    <w:p w14:paraId="032156F2" w14:textId="77777777" w:rsidR="00D40B8F" w:rsidRPr="00B03142" w:rsidRDefault="00D40B8F" w:rsidP="00D40B8F">
      <w:pPr>
        <w:tabs>
          <w:tab w:val="left" w:pos="2120"/>
        </w:tabs>
        <w:jc w:val="center"/>
        <w:rPr>
          <w:b/>
        </w:rPr>
      </w:pPr>
    </w:p>
    <w:p w14:paraId="2864C079" w14:textId="6CC7E5DB" w:rsidR="00D40B8F" w:rsidRDefault="00D40B8F" w:rsidP="00D40B8F">
      <w:pPr>
        <w:jc w:val="center"/>
        <w:rPr>
          <w:sz w:val="16"/>
          <w:szCs w:val="16"/>
          <w:lang w:eastAsia="lt-LT"/>
        </w:rPr>
      </w:pPr>
      <w:r w:rsidRPr="00B03142">
        <w:rPr>
          <w:sz w:val="16"/>
          <w:szCs w:val="16"/>
          <w:lang w:eastAsia="lt-LT"/>
        </w:rPr>
        <w:t xml:space="preserve">Biudžetinė įstaiga, </w:t>
      </w:r>
      <w:r w:rsidRPr="00D40B8F">
        <w:rPr>
          <w:sz w:val="16"/>
          <w:szCs w:val="16"/>
          <w:lang w:eastAsia="lt-LT"/>
        </w:rPr>
        <w:t>Vilniaus g. 245, LT-76343 Šiauliai</w:t>
      </w:r>
      <w:r w:rsidRPr="00B03142">
        <w:rPr>
          <w:sz w:val="16"/>
          <w:szCs w:val="16"/>
          <w:lang w:eastAsia="lt-LT"/>
        </w:rPr>
        <w:t>, tel.</w:t>
      </w:r>
      <w:r>
        <w:rPr>
          <w:sz w:val="16"/>
          <w:szCs w:val="16"/>
          <w:lang w:eastAsia="lt-LT"/>
        </w:rPr>
        <w:t>/faks.</w:t>
      </w:r>
      <w:r w:rsidRPr="00B03142">
        <w:rPr>
          <w:sz w:val="16"/>
          <w:szCs w:val="16"/>
          <w:lang w:eastAsia="lt-LT"/>
        </w:rPr>
        <w:t xml:space="preserve"> (8 41)  52 </w:t>
      </w:r>
      <w:r>
        <w:rPr>
          <w:sz w:val="16"/>
          <w:szCs w:val="16"/>
          <w:lang w:eastAsia="lt-LT"/>
        </w:rPr>
        <w:t>4</w:t>
      </w:r>
      <w:r w:rsidRPr="00B03142">
        <w:rPr>
          <w:sz w:val="16"/>
          <w:szCs w:val="16"/>
          <w:lang w:eastAsia="lt-LT"/>
        </w:rPr>
        <w:t>3</w:t>
      </w:r>
      <w:r>
        <w:rPr>
          <w:sz w:val="16"/>
          <w:szCs w:val="16"/>
          <w:lang w:eastAsia="lt-LT"/>
        </w:rPr>
        <w:t xml:space="preserve"> 85</w:t>
      </w:r>
      <w:r w:rsidRPr="00B03142">
        <w:rPr>
          <w:sz w:val="16"/>
          <w:szCs w:val="16"/>
          <w:lang w:eastAsia="lt-LT"/>
        </w:rPr>
        <w:t>, mob. tel. 8 6</w:t>
      </w:r>
      <w:r>
        <w:rPr>
          <w:sz w:val="16"/>
          <w:szCs w:val="16"/>
          <w:lang w:eastAsia="lt-LT"/>
        </w:rPr>
        <w:t>8</w:t>
      </w:r>
      <w:r w:rsidRPr="00B03142">
        <w:rPr>
          <w:sz w:val="16"/>
          <w:szCs w:val="16"/>
          <w:lang w:eastAsia="lt-LT"/>
        </w:rPr>
        <w:t xml:space="preserve">2 </w:t>
      </w:r>
      <w:r>
        <w:rPr>
          <w:sz w:val="16"/>
          <w:szCs w:val="16"/>
          <w:lang w:eastAsia="lt-LT"/>
        </w:rPr>
        <w:t>62232</w:t>
      </w:r>
      <w:r w:rsidRPr="00B03142">
        <w:rPr>
          <w:sz w:val="16"/>
          <w:szCs w:val="16"/>
          <w:lang w:eastAsia="lt-LT"/>
        </w:rPr>
        <w:t xml:space="preserve">, </w:t>
      </w:r>
    </w:p>
    <w:p w14:paraId="7F7A3975" w14:textId="635C02E3" w:rsidR="00D40B8F" w:rsidRPr="00B03142" w:rsidRDefault="00D40B8F" w:rsidP="00D40B8F">
      <w:pPr>
        <w:jc w:val="center"/>
        <w:rPr>
          <w:sz w:val="16"/>
          <w:szCs w:val="16"/>
          <w:lang w:eastAsia="lt-LT"/>
        </w:rPr>
      </w:pPr>
      <w:r w:rsidRPr="00B03142">
        <w:rPr>
          <w:sz w:val="16"/>
          <w:szCs w:val="16"/>
          <w:lang w:eastAsia="lt-LT"/>
        </w:rPr>
        <w:t xml:space="preserve">el. p. </w:t>
      </w:r>
      <w:hyperlink r:id="rId4" w:history="1">
        <w:r w:rsidRPr="00E2318B">
          <w:rPr>
            <w:rStyle w:val="Hipersaitas"/>
            <w:sz w:val="16"/>
            <w:szCs w:val="16"/>
            <w:shd w:val="clear" w:color="auto" w:fill="FFFFFF"/>
          </w:rPr>
          <w:t>info@siauliugalerija.lt</w:t>
        </w:r>
      </w:hyperlink>
      <w:r>
        <w:rPr>
          <w:sz w:val="16"/>
          <w:szCs w:val="16"/>
          <w:shd w:val="clear" w:color="auto" w:fill="FFFFFF"/>
        </w:rPr>
        <w:t xml:space="preserve">, </w:t>
      </w:r>
      <w:r w:rsidRPr="00B03142">
        <w:rPr>
          <w:color w:val="000000"/>
          <w:sz w:val="16"/>
          <w:szCs w:val="16"/>
          <w:lang w:eastAsia="lt-LT"/>
        </w:rPr>
        <w:t>d</w:t>
      </w:r>
      <w:r w:rsidRPr="00B03142">
        <w:rPr>
          <w:sz w:val="16"/>
          <w:szCs w:val="16"/>
          <w:lang w:eastAsia="lt-LT"/>
        </w:rPr>
        <w:t xml:space="preserve">uomenys kaupiami ir saugomi Juridinių asmenų registre, įm. kodas </w:t>
      </w:r>
      <w:r w:rsidRPr="00D40B8F">
        <w:rPr>
          <w:sz w:val="16"/>
          <w:szCs w:val="16"/>
          <w:lang w:eastAsia="lt-LT"/>
        </w:rPr>
        <w:t>193309312</w:t>
      </w:r>
    </w:p>
    <w:p w14:paraId="0EFB401B" w14:textId="77777777" w:rsidR="00D40B8F" w:rsidRPr="00B03142" w:rsidRDefault="00D40B8F" w:rsidP="00D40B8F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tbl>
      <w:tblPr>
        <w:tblpPr w:leftFromText="180" w:rightFromText="180" w:vertAnchor="page" w:horzAnchor="margin" w:tblpY="2011"/>
        <w:tblW w:w="10032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4"/>
        <w:gridCol w:w="754"/>
        <w:gridCol w:w="754"/>
        <w:gridCol w:w="754"/>
        <w:gridCol w:w="4751"/>
      </w:tblGrid>
      <w:tr w:rsidR="00D40B8F" w:rsidRPr="000C2C99" w14:paraId="1815A073" w14:textId="77777777" w:rsidTr="00D40B8F">
        <w:trPr>
          <w:trHeight w:val="272"/>
        </w:trPr>
        <w:tc>
          <w:tcPr>
            <w:tcW w:w="10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807" w14:textId="30C630EB" w:rsidR="00D40B8F" w:rsidRPr="000C2C99" w:rsidRDefault="00D40B8F" w:rsidP="00E2183E">
            <w:pPr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0C2C99">
              <w:rPr>
                <w:b/>
                <w:bCs/>
                <w:sz w:val="24"/>
                <w:szCs w:val="24"/>
                <w:lang w:eastAsia="lt-LT"/>
              </w:rPr>
              <w:t xml:space="preserve">BIUDŽETINIŲ </w:t>
            </w:r>
            <w:r w:rsidRPr="00D40B8F">
              <w:rPr>
                <w:b/>
                <w:caps/>
                <w:sz w:val="24"/>
                <w:szCs w:val="24"/>
              </w:rPr>
              <w:t xml:space="preserve">vykdymo ATASKAITŲ RINKINIO </w:t>
            </w:r>
            <w:r w:rsidRPr="00D40B8F">
              <w:rPr>
                <w:b/>
                <w:bCs/>
                <w:sz w:val="24"/>
                <w:szCs w:val="24"/>
                <w:lang w:eastAsia="lt-LT"/>
              </w:rPr>
              <w:t>AIŠKINAMASIS</w:t>
            </w:r>
            <w:r w:rsidRPr="000C2C99">
              <w:rPr>
                <w:b/>
                <w:bCs/>
                <w:sz w:val="24"/>
                <w:szCs w:val="24"/>
                <w:lang w:eastAsia="lt-LT"/>
              </w:rPr>
              <w:t xml:space="preserve"> RAŠTAS</w:t>
            </w:r>
          </w:p>
        </w:tc>
      </w:tr>
      <w:tr w:rsidR="00D40B8F" w:rsidRPr="000C2C99" w14:paraId="296329AA" w14:textId="77777777" w:rsidTr="00D40B8F">
        <w:trPr>
          <w:gridAfter w:val="1"/>
          <w:wAfter w:w="4751" w:type="dxa"/>
          <w:trHeight w:val="272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0F55" w14:textId="77777777" w:rsidR="00D40B8F" w:rsidRPr="000C2C99" w:rsidRDefault="00D40B8F" w:rsidP="00D40B8F">
            <w:pPr>
              <w:rPr>
                <w:lang w:eastAsia="lt-L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E228" w14:textId="77777777" w:rsidR="00D40B8F" w:rsidRPr="000C2C99" w:rsidRDefault="00D40B8F" w:rsidP="00D40B8F">
            <w:pPr>
              <w:rPr>
                <w:lang w:eastAsia="lt-L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EDCD" w14:textId="77777777" w:rsidR="00D40B8F" w:rsidRPr="000C2C99" w:rsidRDefault="00D40B8F" w:rsidP="00D40B8F">
            <w:pPr>
              <w:rPr>
                <w:lang w:eastAsia="lt-L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A012" w14:textId="77777777" w:rsidR="00D40B8F" w:rsidRPr="000C2C99" w:rsidRDefault="00D40B8F" w:rsidP="00D40B8F">
            <w:pPr>
              <w:rPr>
                <w:lang w:eastAsia="lt-L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C122" w14:textId="77777777" w:rsidR="00D40B8F" w:rsidRPr="000C2C99" w:rsidRDefault="00D40B8F" w:rsidP="00D40B8F">
            <w:pPr>
              <w:rPr>
                <w:lang w:eastAsia="lt-L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1316" w14:textId="77777777" w:rsidR="00D40B8F" w:rsidRPr="000C2C99" w:rsidRDefault="00D40B8F" w:rsidP="00D40B8F">
            <w:pPr>
              <w:rPr>
                <w:lang w:eastAsia="lt-L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15BF" w14:textId="77777777" w:rsidR="00D40B8F" w:rsidRPr="000C2C99" w:rsidRDefault="00D40B8F" w:rsidP="00D40B8F">
            <w:pPr>
              <w:rPr>
                <w:lang w:eastAsia="lt-LT"/>
              </w:rPr>
            </w:pPr>
          </w:p>
        </w:tc>
      </w:tr>
      <w:tr w:rsidR="00D40B8F" w:rsidRPr="003D566D" w14:paraId="6EF02BE3" w14:textId="77777777" w:rsidTr="00D40B8F">
        <w:trPr>
          <w:trHeight w:val="272"/>
        </w:trPr>
        <w:tc>
          <w:tcPr>
            <w:tcW w:w="10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1A1A" w14:textId="77777777" w:rsidR="00D40B8F" w:rsidRPr="000C2C99" w:rsidRDefault="00D40B8F" w:rsidP="00D40B8F">
            <w:pPr>
              <w:jc w:val="center"/>
              <w:rPr>
                <w:sz w:val="24"/>
                <w:szCs w:val="24"/>
                <w:lang w:eastAsia="lt-LT"/>
              </w:rPr>
            </w:pPr>
            <w:r w:rsidRPr="000C2C99">
              <w:rPr>
                <w:sz w:val="24"/>
                <w:szCs w:val="24"/>
                <w:lang w:eastAsia="lt-LT"/>
              </w:rPr>
              <w:t xml:space="preserve">2020 m. </w:t>
            </w:r>
            <w:r w:rsidRPr="003D566D">
              <w:rPr>
                <w:sz w:val="24"/>
                <w:szCs w:val="24"/>
                <w:lang w:eastAsia="lt-LT"/>
              </w:rPr>
              <w:t>rugsėjo</w:t>
            </w:r>
            <w:r w:rsidRPr="000C2C99">
              <w:rPr>
                <w:sz w:val="24"/>
                <w:szCs w:val="24"/>
                <w:lang w:eastAsia="lt-LT"/>
              </w:rPr>
              <w:t xml:space="preserve"> 30  d. </w:t>
            </w:r>
          </w:p>
        </w:tc>
      </w:tr>
      <w:tr w:rsidR="00D40B8F" w:rsidRPr="00D91EDC" w14:paraId="73775C36" w14:textId="77777777" w:rsidTr="00D40B8F">
        <w:trPr>
          <w:trHeight w:val="272"/>
        </w:trPr>
        <w:tc>
          <w:tcPr>
            <w:tcW w:w="10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9882" w14:textId="77777777" w:rsidR="00D40B8F" w:rsidRPr="00D91EDC" w:rsidRDefault="00D40B8F" w:rsidP="00D40B8F">
            <w:pPr>
              <w:jc w:val="center"/>
              <w:rPr>
                <w:lang w:eastAsia="lt-LT"/>
              </w:rPr>
            </w:pPr>
            <w:r w:rsidRPr="00D91EDC">
              <w:rPr>
                <w:lang w:eastAsia="lt-LT"/>
              </w:rPr>
              <w:t>Šiauliai</w:t>
            </w:r>
          </w:p>
        </w:tc>
      </w:tr>
    </w:tbl>
    <w:p w14:paraId="23AF2788" w14:textId="77777777" w:rsidR="00D40B8F" w:rsidRDefault="00D40B8F" w:rsidP="000C2C99">
      <w:pPr>
        <w:rPr>
          <w:b/>
        </w:rPr>
      </w:pPr>
    </w:p>
    <w:p w14:paraId="545A745E" w14:textId="77777777" w:rsidR="00D40B8F" w:rsidRDefault="00D40B8F" w:rsidP="000C2C99">
      <w:pPr>
        <w:rPr>
          <w:b/>
        </w:rPr>
      </w:pPr>
    </w:p>
    <w:p w14:paraId="1FA79156" w14:textId="40ECB7F8" w:rsidR="000C2C99" w:rsidRDefault="00D91EDC" w:rsidP="000C2C99">
      <w:pPr>
        <w:rPr>
          <w:b/>
        </w:rPr>
      </w:pPr>
      <w:r w:rsidRPr="00D91EDC">
        <w:rPr>
          <w:b/>
        </w:rPr>
        <w:t>AIŠKINAMOJO RAŠTO PASTABOS:</w:t>
      </w:r>
    </w:p>
    <w:p w14:paraId="3075997B" w14:textId="77777777" w:rsidR="00D91EDC" w:rsidRPr="00D91EDC" w:rsidRDefault="00D91EDC" w:rsidP="000C2C99">
      <w:pPr>
        <w:rPr>
          <w:b/>
        </w:rPr>
      </w:pPr>
    </w:p>
    <w:p w14:paraId="7A7F56E5" w14:textId="77777777" w:rsidR="000C2C99" w:rsidRDefault="000C2C99" w:rsidP="000C2C99">
      <w:pPr>
        <w:rPr>
          <w:sz w:val="24"/>
        </w:rPr>
      </w:pPr>
      <w:r w:rsidRPr="00DE17A4">
        <w:rPr>
          <w:sz w:val="24"/>
        </w:rPr>
        <w:t>K</w:t>
      </w:r>
      <w:r>
        <w:rPr>
          <w:sz w:val="24"/>
        </w:rPr>
        <w:t>etvirtinį ataskaitų rinkinį sudaro :</w:t>
      </w:r>
    </w:p>
    <w:p w14:paraId="02359A6A" w14:textId="7BE1C936" w:rsidR="000C2C99" w:rsidRDefault="000C2C99" w:rsidP="000C2C99">
      <w:pPr>
        <w:rPr>
          <w:sz w:val="24"/>
        </w:rPr>
      </w:pPr>
      <w:r>
        <w:rPr>
          <w:sz w:val="24"/>
        </w:rPr>
        <w:t>- biudžetinių įstaigų pajamų į biudžetą ,biudžeto pajamų iš mokesčių dalies ir kitų lėšų, skiriamų programoms finansuoti, ataskaita (forma Nr.</w:t>
      </w:r>
      <w:r w:rsidR="008A3034">
        <w:rPr>
          <w:sz w:val="24"/>
        </w:rPr>
        <w:t xml:space="preserve"> </w:t>
      </w:r>
      <w:r>
        <w:rPr>
          <w:sz w:val="24"/>
        </w:rPr>
        <w:t>1);</w:t>
      </w:r>
    </w:p>
    <w:p w14:paraId="5D717480" w14:textId="04B3AC33" w:rsidR="000C2C99" w:rsidRDefault="000C2C99" w:rsidP="000C2C99">
      <w:pPr>
        <w:rPr>
          <w:sz w:val="24"/>
        </w:rPr>
      </w:pPr>
      <w:r>
        <w:rPr>
          <w:sz w:val="24"/>
        </w:rPr>
        <w:t>- biudžeto vykdymo ataskaita (forma Nr</w:t>
      </w:r>
      <w:r w:rsidR="008A3034">
        <w:rPr>
          <w:sz w:val="24"/>
        </w:rPr>
        <w:t xml:space="preserve">. </w:t>
      </w:r>
      <w:r>
        <w:rPr>
          <w:sz w:val="24"/>
        </w:rPr>
        <w:t>2);</w:t>
      </w:r>
    </w:p>
    <w:p w14:paraId="648F41D8" w14:textId="18F7991D" w:rsidR="000C2C99" w:rsidRDefault="000C2C99" w:rsidP="000C2C99">
      <w:pPr>
        <w:rPr>
          <w:sz w:val="24"/>
        </w:rPr>
      </w:pPr>
      <w:r>
        <w:rPr>
          <w:sz w:val="24"/>
        </w:rPr>
        <w:t xml:space="preserve">- </w:t>
      </w:r>
      <w:r w:rsidR="00301630">
        <w:rPr>
          <w:sz w:val="24"/>
        </w:rPr>
        <w:t>aiškinamasis raštas</w:t>
      </w:r>
      <w:r>
        <w:rPr>
          <w:sz w:val="24"/>
        </w:rPr>
        <w:t>.</w:t>
      </w:r>
    </w:p>
    <w:tbl>
      <w:tblPr>
        <w:tblW w:w="11250" w:type="dxa"/>
        <w:tblLook w:val="04A0" w:firstRow="1" w:lastRow="0" w:firstColumn="1" w:lastColumn="0" w:noHBand="0" w:noVBand="1"/>
      </w:tblPr>
      <w:tblGrid>
        <w:gridCol w:w="284"/>
        <w:gridCol w:w="1894"/>
        <w:gridCol w:w="755"/>
        <w:gridCol w:w="751"/>
        <w:gridCol w:w="751"/>
        <w:gridCol w:w="751"/>
        <w:gridCol w:w="750"/>
        <w:gridCol w:w="750"/>
        <w:gridCol w:w="750"/>
        <w:gridCol w:w="750"/>
        <w:gridCol w:w="750"/>
        <w:gridCol w:w="417"/>
        <w:gridCol w:w="100"/>
        <w:gridCol w:w="44"/>
        <w:gridCol w:w="192"/>
        <w:gridCol w:w="58"/>
        <w:gridCol w:w="86"/>
        <w:gridCol w:w="1081"/>
        <w:gridCol w:w="336"/>
      </w:tblGrid>
      <w:tr w:rsidR="000C2C99" w:rsidRPr="000C2C99" w14:paraId="40B2EE74" w14:textId="77777777" w:rsidTr="0050327B">
        <w:trPr>
          <w:gridAfter w:val="4"/>
          <w:wAfter w:w="1561" w:type="dxa"/>
          <w:trHeight w:val="315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DE929" w14:textId="77777777" w:rsidR="000C2C99" w:rsidRPr="000C2C99" w:rsidRDefault="000C2C99" w:rsidP="000C2C9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6C719" w14:textId="77777777" w:rsidR="000C2C99" w:rsidRPr="000C2C99" w:rsidRDefault="000C2C9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F7ED" w14:textId="77777777" w:rsidR="000C2C99" w:rsidRPr="000C2C99" w:rsidRDefault="000C2C9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423E1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2DFA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B558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2F5F8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</w:tr>
      <w:tr w:rsidR="000C2C99" w:rsidRPr="000C2C99" w14:paraId="70C17770" w14:textId="77777777" w:rsidTr="0050327B">
        <w:trPr>
          <w:gridAfter w:val="4"/>
          <w:wAfter w:w="1561" w:type="dxa"/>
          <w:trHeight w:val="315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2BD4C" w14:textId="77777777" w:rsidR="000C2C99" w:rsidRPr="000C2C99" w:rsidRDefault="000C2C99" w:rsidP="00E2183E">
            <w:pPr>
              <w:ind w:firstLine="37"/>
              <w:rPr>
                <w:b/>
                <w:sz w:val="24"/>
                <w:szCs w:val="24"/>
                <w:lang w:eastAsia="lt-LT"/>
              </w:rPr>
            </w:pPr>
            <w:r w:rsidRPr="000C2C99">
              <w:rPr>
                <w:b/>
                <w:sz w:val="24"/>
                <w:szCs w:val="24"/>
                <w:lang w:eastAsia="lt-LT"/>
              </w:rPr>
              <w:t>Forma Nr. 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4C853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60F70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B1C1F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2A255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8540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6B128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1B41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70A5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7303A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E315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</w:tr>
      <w:tr w:rsidR="000C2C99" w:rsidRPr="000C2C99" w14:paraId="53D9E55E" w14:textId="77777777" w:rsidTr="0050327B">
        <w:trPr>
          <w:gridAfter w:val="4"/>
          <w:wAfter w:w="1561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EADB" w14:textId="77777777" w:rsidR="000C2C99" w:rsidRDefault="000C2C99" w:rsidP="000C2C99">
            <w:pPr>
              <w:jc w:val="center"/>
              <w:rPr>
                <w:lang w:eastAsia="lt-LT"/>
              </w:rPr>
            </w:pPr>
          </w:p>
          <w:p w14:paraId="7DFBE2C2" w14:textId="3568145C" w:rsidR="0050327B" w:rsidRPr="000C2C99" w:rsidRDefault="0050327B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6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3991" w14:textId="77777777" w:rsidR="000C2C99" w:rsidRPr="000C2C99" w:rsidRDefault="000C2C9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0C2C99">
              <w:rPr>
                <w:b/>
                <w:bCs/>
                <w:sz w:val="22"/>
                <w:szCs w:val="22"/>
                <w:lang w:eastAsia="lt-LT"/>
              </w:rPr>
              <w:t xml:space="preserve"> SP-32 programa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4AB7" w14:textId="77777777" w:rsidR="000C2C99" w:rsidRPr="000C2C99" w:rsidRDefault="000C2C9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1C8F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57C3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CE6C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</w:tr>
      <w:tr w:rsidR="000C2C99" w:rsidRPr="000C2C99" w14:paraId="315978BB" w14:textId="77777777" w:rsidTr="0050327B">
        <w:trPr>
          <w:gridAfter w:val="4"/>
          <w:wAfter w:w="1561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22B5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9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789D" w14:textId="2D08D8BB" w:rsidR="000C2C99" w:rsidRPr="003D566D" w:rsidRDefault="00690EFC" w:rsidP="0050327B">
            <w:pPr>
              <w:ind w:left="-106" w:firstLine="142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Per </w:t>
            </w:r>
            <w:r w:rsidR="000C2C99" w:rsidRPr="000C2C99">
              <w:rPr>
                <w:sz w:val="24"/>
                <w:szCs w:val="24"/>
                <w:lang w:eastAsia="lt-LT"/>
              </w:rPr>
              <w:t>20</w:t>
            </w:r>
            <w:r w:rsidR="00573D4D" w:rsidRPr="003D566D">
              <w:rPr>
                <w:sz w:val="24"/>
                <w:szCs w:val="24"/>
                <w:lang w:eastAsia="lt-LT"/>
              </w:rPr>
              <w:t>20</w:t>
            </w:r>
            <w:r w:rsidR="000C2C99" w:rsidRPr="000C2C99">
              <w:rPr>
                <w:sz w:val="24"/>
                <w:szCs w:val="24"/>
                <w:lang w:eastAsia="lt-LT"/>
              </w:rPr>
              <w:t xml:space="preserve"> </w:t>
            </w:r>
            <w:r w:rsidR="00573D4D" w:rsidRPr="003D566D">
              <w:rPr>
                <w:sz w:val="24"/>
                <w:szCs w:val="24"/>
                <w:lang w:eastAsia="lt-LT"/>
              </w:rPr>
              <w:t xml:space="preserve">m. </w:t>
            </w:r>
            <w:r>
              <w:rPr>
                <w:sz w:val="24"/>
                <w:szCs w:val="24"/>
                <w:lang w:eastAsia="lt-LT"/>
              </w:rPr>
              <w:t xml:space="preserve">buvo </w:t>
            </w:r>
            <w:r w:rsidR="00573D4D" w:rsidRPr="003D566D">
              <w:rPr>
                <w:sz w:val="24"/>
                <w:szCs w:val="24"/>
                <w:lang w:eastAsia="lt-LT"/>
              </w:rPr>
              <w:t xml:space="preserve">planuota surinkti </w:t>
            </w:r>
            <w:r>
              <w:rPr>
                <w:sz w:val="24"/>
                <w:szCs w:val="24"/>
                <w:lang w:eastAsia="lt-LT"/>
              </w:rPr>
              <w:t>3800</w:t>
            </w:r>
            <w:r w:rsidR="00573D4D" w:rsidRPr="003D566D">
              <w:rPr>
                <w:sz w:val="24"/>
                <w:szCs w:val="24"/>
                <w:lang w:eastAsia="lt-LT"/>
              </w:rPr>
              <w:t xml:space="preserve">,00 </w:t>
            </w:r>
            <w:proofErr w:type="spellStart"/>
            <w:r w:rsidR="00573D4D" w:rsidRPr="003D566D">
              <w:rPr>
                <w:sz w:val="24"/>
                <w:szCs w:val="24"/>
                <w:lang w:eastAsia="lt-LT"/>
              </w:rPr>
              <w:t>Eur</w:t>
            </w:r>
            <w:proofErr w:type="spellEnd"/>
            <w:r w:rsidR="00573D4D" w:rsidRPr="003D566D">
              <w:rPr>
                <w:sz w:val="24"/>
                <w:szCs w:val="24"/>
                <w:lang w:eastAsia="lt-LT"/>
              </w:rPr>
              <w:t xml:space="preserve">, į biudžetą pervesta </w:t>
            </w:r>
            <w:r w:rsidR="0050327B">
              <w:rPr>
                <w:sz w:val="24"/>
                <w:szCs w:val="24"/>
                <w:lang w:eastAsia="lt-LT"/>
              </w:rPr>
              <w:t xml:space="preserve">4246,80 </w:t>
            </w:r>
            <w:proofErr w:type="spellStart"/>
            <w:r w:rsidR="00573D4D" w:rsidRPr="003D566D">
              <w:rPr>
                <w:sz w:val="24"/>
                <w:szCs w:val="24"/>
                <w:lang w:eastAsia="lt-LT"/>
              </w:rPr>
              <w:t>Eur</w:t>
            </w:r>
            <w:proofErr w:type="spellEnd"/>
            <w:r w:rsidR="00573D4D" w:rsidRPr="003D566D">
              <w:rPr>
                <w:sz w:val="24"/>
                <w:szCs w:val="24"/>
                <w:lang w:eastAsia="lt-LT"/>
              </w:rPr>
              <w:t>.</w:t>
            </w:r>
          </w:p>
          <w:p w14:paraId="0568C002" w14:textId="77777777" w:rsidR="00573D4D" w:rsidRPr="000C2C99" w:rsidRDefault="00573D4D" w:rsidP="00573D4D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BD36" w14:textId="77777777" w:rsidR="000C2C99" w:rsidRPr="000C2C99" w:rsidRDefault="000C2C99" w:rsidP="000C2C99">
            <w:pPr>
              <w:rPr>
                <w:sz w:val="22"/>
                <w:szCs w:val="22"/>
                <w:lang w:eastAsia="lt-LT"/>
              </w:rPr>
            </w:pPr>
          </w:p>
        </w:tc>
      </w:tr>
      <w:tr w:rsidR="000C2C99" w:rsidRPr="000C2C99" w14:paraId="4199E657" w14:textId="77777777" w:rsidTr="0050327B">
        <w:trPr>
          <w:gridAfter w:val="4"/>
          <w:wAfter w:w="1561" w:type="dxa"/>
          <w:trHeight w:val="315"/>
        </w:trPr>
        <w:tc>
          <w:tcPr>
            <w:tcW w:w="8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6A66" w14:textId="77777777" w:rsidR="000C2C99" w:rsidRPr="000C2C99" w:rsidRDefault="000C2C99" w:rsidP="00E2183E">
            <w:pPr>
              <w:ind w:firstLine="37"/>
              <w:rPr>
                <w:b/>
                <w:sz w:val="24"/>
                <w:szCs w:val="24"/>
                <w:lang w:eastAsia="lt-LT"/>
              </w:rPr>
            </w:pPr>
            <w:r w:rsidRPr="000C2C99">
              <w:rPr>
                <w:b/>
                <w:sz w:val="24"/>
                <w:szCs w:val="24"/>
                <w:lang w:eastAsia="lt-LT"/>
              </w:rPr>
              <w:t>Formos  Nr. 2 nukrypimų pagal išlaidų straipsnius paaiškinimas: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9FAF" w14:textId="77777777" w:rsidR="000C2C99" w:rsidRPr="000C2C99" w:rsidRDefault="000C2C99" w:rsidP="000C2C99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EFD1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</w:tr>
      <w:tr w:rsidR="000C2C99" w:rsidRPr="000C2C99" w14:paraId="7C4CFFC7" w14:textId="77777777" w:rsidTr="0050327B">
        <w:trPr>
          <w:gridAfter w:val="4"/>
          <w:wAfter w:w="1561" w:type="dxa"/>
          <w:trHeight w:val="240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6109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706A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3353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E66C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8CF5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770A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5AA0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9B78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385E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2598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21F1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</w:tr>
      <w:tr w:rsidR="000C2C99" w:rsidRPr="000C2C99" w14:paraId="7AB09DEF" w14:textId="77777777" w:rsidTr="0050327B">
        <w:trPr>
          <w:gridAfter w:val="2"/>
          <w:wAfter w:w="1417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5E6B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92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02B8" w14:textId="11B6B6A3" w:rsidR="000C2C99" w:rsidRPr="003D566D" w:rsidRDefault="00573D4D" w:rsidP="00FC3D0B">
            <w:pPr>
              <w:jc w:val="both"/>
              <w:rPr>
                <w:sz w:val="24"/>
                <w:szCs w:val="24"/>
                <w:lang w:eastAsia="lt-LT"/>
              </w:rPr>
            </w:pPr>
            <w:r w:rsidRPr="003D566D">
              <w:rPr>
                <w:sz w:val="24"/>
                <w:szCs w:val="24"/>
                <w:lang w:eastAsia="lt-LT"/>
              </w:rPr>
              <w:t>Įstaiga ketvirčiui pasibaigus turi paprašytų ir nepanaudotų</w:t>
            </w:r>
            <w:r w:rsidR="00321027" w:rsidRPr="003D566D">
              <w:rPr>
                <w:sz w:val="24"/>
                <w:szCs w:val="24"/>
                <w:lang w:eastAsia="lt-LT"/>
              </w:rPr>
              <w:t xml:space="preserve"> </w:t>
            </w:r>
            <w:r w:rsidRPr="003D566D">
              <w:rPr>
                <w:b/>
                <w:sz w:val="24"/>
                <w:szCs w:val="24"/>
                <w:u w:val="single"/>
                <w:lang w:eastAsia="lt-LT"/>
              </w:rPr>
              <w:t>SP-3</w:t>
            </w:r>
            <w:r w:rsidR="0050327B">
              <w:rPr>
                <w:b/>
                <w:sz w:val="24"/>
                <w:szCs w:val="24"/>
                <w:u w:val="single"/>
                <w:lang w:eastAsia="lt-LT"/>
              </w:rPr>
              <w:t>2</w:t>
            </w:r>
            <w:r w:rsidRPr="003D566D">
              <w:rPr>
                <w:b/>
                <w:sz w:val="24"/>
                <w:szCs w:val="24"/>
                <w:u w:val="single"/>
                <w:lang w:eastAsia="lt-LT"/>
              </w:rPr>
              <w:t xml:space="preserve"> lėšų</w:t>
            </w:r>
            <w:r w:rsidRPr="003D566D">
              <w:rPr>
                <w:sz w:val="24"/>
                <w:szCs w:val="24"/>
                <w:lang w:eastAsia="lt-LT"/>
              </w:rPr>
              <w:t xml:space="preserve"> </w:t>
            </w:r>
            <w:r w:rsidR="0050327B">
              <w:rPr>
                <w:sz w:val="24"/>
                <w:szCs w:val="24"/>
                <w:lang w:eastAsia="lt-LT"/>
              </w:rPr>
              <w:t>13,66</w:t>
            </w:r>
            <w:r w:rsidR="00321027" w:rsidRPr="003D566D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321027" w:rsidRPr="003D566D">
              <w:rPr>
                <w:sz w:val="24"/>
                <w:szCs w:val="24"/>
                <w:lang w:eastAsia="lt-LT"/>
              </w:rPr>
              <w:t>Eur</w:t>
            </w:r>
            <w:proofErr w:type="spellEnd"/>
            <w:r w:rsidR="00321027" w:rsidRPr="003D566D">
              <w:rPr>
                <w:sz w:val="24"/>
                <w:szCs w:val="24"/>
                <w:lang w:eastAsia="lt-LT"/>
              </w:rPr>
              <w:t xml:space="preserve">. </w:t>
            </w:r>
          </w:p>
          <w:p w14:paraId="64A10A22" w14:textId="77777777" w:rsidR="0098026F" w:rsidRPr="000C2C99" w:rsidRDefault="0098026F" w:rsidP="0050327B">
            <w:pPr>
              <w:ind w:left="-106" w:firstLine="391"/>
              <w:jc w:val="both"/>
              <w:rPr>
                <w:sz w:val="24"/>
                <w:szCs w:val="24"/>
                <w:lang w:eastAsia="lt-L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AA86" w14:textId="77777777" w:rsidR="000C2C99" w:rsidRPr="000C2C99" w:rsidRDefault="000C2C99" w:rsidP="000C2C99">
            <w:pPr>
              <w:rPr>
                <w:sz w:val="22"/>
                <w:szCs w:val="22"/>
                <w:lang w:eastAsia="lt-LT"/>
              </w:rPr>
            </w:pPr>
          </w:p>
        </w:tc>
      </w:tr>
      <w:tr w:rsidR="000C2C99" w:rsidRPr="000C2C99" w14:paraId="342D10C4" w14:textId="77777777" w:rsidTr="0050327B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D00F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92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FFF7" w14:textId="77777777" w:rsidR="00AD2A2C" w:rsidRDefault="002D240D" w:rsidP="002D240D">
            <w:pPr>
              <w:rPr>
                <w:sz w:val="24"/>
                <w:szCs w:val="24"/>
                <w:lang w:eastAsia="lt-LT"/>
              </w:rPr>
            </w:pPr>
            <w:r w:rsidRPr="003D566D">
              <w:rPr>
                <w:sz w:val="24"/>
                <w:szCs w:val="24"/>
                <w:lang w:eastAsia="lt-LT"/>
              </w:rPr>
              <w:t>151 s</w:t>
            </w:r>
            <w:r w:rsidRPr="000C2C99">
              <w:rPr>
                <w:sz w:val="24"/>
                <w:szCs w:val="24"/>
                <w:lang w:eastAsia="lt-LT"/>
              </w:rPr>
              <w:t xml:space="preserve">ąmatos </w:t>
            </w:r>
            <w:r w:rsidRPr="003D566D">
              <w:rPr>
                <w:sz w:val="24"/>
                <w:szCs w:val="24"/>
                <w:lang w:eastAsia="lt-LT"/>
              </w:rPr>
              <w:t xml:space="preserve">nepanaudojimas </w:t>
            </w:r>
            <w:r w:rsidRPr="000C2C99">
              <w:rPr>
                <w:sz w:val="24"/>
                <w:szCs w:val="24"/>
                <w:lang w:eastAsia="lt-LT"/>
              </w:rPr>
              <w:t>atskait</w:t>
            </w:r>
            <w:r w:rsidRPr="003D566D">
              <w:rPr>
                <w:sz w:val="24"/>
                <w:szCs w:val="24"/>
                <w:lang w:eastAsia="lt-LT"/>
              </w:rPr>
              <w:t xml:space="preserve">inio laikotarpio yra </w:t>
            </w:r>
            <w:r w:rsidR="00AD2A2C">
              <w:rPr>
                <w:sz w:val="24"/>
                <w:szCs w:val="24"/>
                <w:lang w:eastAsia="lt-LT"/>
              </w:rPr>
              <w:t>51956,96</w:t>
            </w:r>
            <w:r w:rsidRPr="003D566D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D566D">
              <w:rPr>
                <w:sz w:val="24"/>
                <w:szCs w:val="24"/>
                <w:lang w:eastAsia="lt-LT"/>
              </w:rPr>
              <w:t>Eur</w:t>
            </w:r>
            <w:proofErr w:type="spellEnd"/>
            <w:r w:rsidRPr="003D566D">
              <w:rPr>
                <w:sz w:val="24"/>
                <w:szCs w:val="24"/>
                <w:lang w:eastAsia="lt-LT"/>
              </w:rPr>
              <w:t xml:space="preserve">. </w:t>
            </w:r>
          </w:p>
          <w:p w14:paraId="75B14354" w14:textId="77777777" w:rsidR="00F83E2F" w:rsidRDefault="00F83E2F" w:rsidP="002D240D">
            <w:pPr>
              <w:rPr>
                <w:sz w:val="24"/>
                <w:szCs w:val="24"/>
                <w:lang w:eastAsia="lt-LT"/>
              </w:rPr>
            </w:pPr>
          </w:p>
          <w:p w14:paraId="59C00712" w14:textId="5F60BCB7" w:rsidR="00301630" w:rsidRPr="0032287B" w:rsidRDefault="00F83E2F" w:rsidP="00301630">
            <w:pPr>
              <w:jc w:val="both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151 lėšų 02.01.01.10 programos </w:t>
            </w:r>
            <w:r w:rsidRPr="000C2C99">
              <w:rPr>
                <w:sz w:val="24"/>
                <w:szCs w:val="24"/>
                <w:lang w:eastAsia="lt-LT"/>
              </w:rPr>
              <w:t>atskait</w:t>
            </w:r>
            <w:r w:rsidRPr="003D566D">
              <w:rPr>
                <w:sz w:val="24"/>
                <w:szCs w:val="24"/>
                <w:lang w:eastAsia="lt-LT"/>
              </w:rPr>
              <w:t>inio laikotarpio s</w:t>
            </w:r>
            <w:r w:rsidRPr="000C2C99">
              <w:rPr>
                <w:sz w:val="24"/>
                <w:szCs w:val="24"/>
                <w:lang w:eastAsia="lt-LT"/>
              </w:rPr>
              <w:t xml:space="preserve">ąmatos </w:t>
            </w:r>
            <w:r w:rsidRPr="003D566D">
              <w:rPr>
                <w:sz w:val="24"/>
                <w:szCs w:val="24"/>
                <w:lang w:eastAsia="lt-LT"/>
              </w:rPr>
              <w:t xml:space="preserve">nepanaudojimas yra </w:t>
            </w:r>
            <w:r>
              <w:rPr>
                <w:sz w:val="24"/>
                <w:szCs w:val="24"/>
                <w:lang w:eastAsia="lt-LT"/>
              </w:rPr>
              <w:t xml:space="preserve">37000,00 </w:t>
            </w:r>
            <w:proofErr w:type="spellStart"/>
            <w:r w:rsidRPr="003D566D">
              <w:rPr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. </w:t>
            </w:r>
            <w:r w:rsidRPr="003D566D">
              <w:rPr>
                <w:sz w:val="24"/>
                <w:szCs w:val="24"/>
                <w:lang w:eastAsia="lt-LT"/>
              </w:rPr>
              <w:t>Ši</w:t>
            </w:r>
            <w:r>
              <w:rPr>
                <w:sz w:val="24"/>
                <w:szCs w:val="24"/>
                <w:lang w:eastAsia="lt-LT"/>
              </w:rPr>
              <w:t>ą</w:t>
            </w:r>
            <w:r w:rsidRPr="003D566D">
              <w:rPr>
                <w:sz w:val="24"/>
                <w:szCs w:val="24"/>
                <w:lang w:eastAsia="lt-LT"/>
              </w:rPr>
              <w:t xml:space="preserve"> sum</w:t>
            </w:r>
            <w:r>
              <w:rPr>
                <w:sz w:val="24"/>
                <w:szCs w:val="24"/>
                <w:lang w:eastAsia="lt-LT"/>
              </w:rPr>
              <w:t>ą s</w:t>
            </w:r>
            <w:r w:rsidRPr="003D566D">
              <w:rPr>
                <w:sz w:val="24"/>
                <w:szCs w:val="24"/>
                <w:lang w:eastAsia="lt-LT"/>
              </w:rPr>
              <w:t>udaro</w:t>
            </w:r>
            <w:r>
              <w:rPr>
                <w:sz w:val="24"/>
                <w:szCs w:val="24"/>
                <w:lang w:eastAsia="lt-LT"/>
              </w:rPr>
              <w:t xml:space="preserve"> transporto išlaikymo ir transporto paslaugų</w:t>
            </w:r>
            <w:r w:rsidRPr="003D566D">
              <w:rPr>
                <w:sz w:val="24"/>
                <w:szCs w:val="24"/>
                <w:lang w:eastAsia="lt-LT"/>
              </w:rPr>
              <w:t xml:space="preserve"> (</w:t>
            </w:r>
            <w:r>
              <w:rPr>
                <w:sz w:val="24"/>
                <w:szCs w:val="24"/>
                <w:lang w:eastAsia="lt-LT"/>
              </w:rPr>
              <w:t>1500,00</w:t>
            </w:r>
            <w:r w:rsidRPr="003D566D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D566D">
              <w:rPr>
                <w:sz w:val="24"/>
                <w:szCs w:val="24"/>
                <w:lang w:eastAsia="lt-LT"/>
              </w:rPr>
              <w:t>Eur</w:t>
            </w:r>
            <w:proofErr w:type="spellEnd"/>
            <w:r w:rsidRPr="003D566D">
              <w:rPr>
                <w:sz w:val="24"/>
                <w:szCs w:val="24"/>
                <w:lang w:eastAsia="lt-LT"/>
              </w:rPr>
              <w:t>)</w:t>
            </w:r>
            <w:r>
              <w:rPr>
                <w:sz w:val="24"/>
                <w:szCs w:val="24"/>
                <w:lang w:eastAsia="lt-LT"/>
              </w:rPr>
              <w:t>,</w:t>
            </w:r>
            <w:r w:rsidRPr="003D566D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informacinių technologijų prekių ir paslaugų</w:t>
            </w:r>
            <w:r w:rsidRPr="003D566D">
              <w:rPr>
                <w:sz w:val="24"/>
                <w:szCs w:val="24"/>
                <w:lang w:eastAsia="lt-LT"/>
              </w:rPr>
              <w:t xml:space="preserve"> (</w:t>
            </w:r>
            <w:r>
              <w:rPr>
                <w:sz w:val="24"/>
                <w:szCs w:val="24"/>
                <w:lang w:eastAsia="lt-LT"/>
              </w:rPr>
              <w:t>600,00</w:t>
            </w:r>
            <w:r w:rsidRPr="003D566D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D566D">
              <w:rPr>
                <w:sz w:val="24"/>
                <w:szCs w:val="24"/>
                <w:lang w:eastAsia="lt-LT"/>
              </w:rPr>
              <w:t>Eur</w:t>
            </w:r>
            <w:proofErr w:type="spellEnd"/>
            <w:r w:rsidRPr="003D566D">
              <w:rPr>
                <w:sz w:val="24"/>
                <w:szCs w:val="24"/>
                <w:lang w:eastAsia="lt-LT"/>
              </w:rPr>
              <w:t>)</w:t>
            </w:r>
            <w:r>
              <w:rPr>
                <w:sz w:val="24"/>
                <w:szCs w:val="24"/>
                <w:lang w:eastAsia="lt-LT"/>
              </w:rPr>
              <w:t xml:space="preserve">, kitų prekių ir paslaugų (34900,00 </w:t>
            </w:r>
            <w:proofErr w:type="spellStart"/>
            <w:r>
              <w:rPr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sz w:val="24"/>
                <w:szCs w:val="24"/>
                <w:lang w:eastAsia="lt-LT"/>
              </w:rPr>
              <w:t>) įsigijimo išlaidos.</w:t>
            </w:r>
            <w:r w:rsidR="00301630">
              <w:rPr>
                <w:sz w:val="24"/>
                <w:szCs w:val="24"/>
                <w:lang w:eastAsia="lt-LT"/>
              </w:rPr>
              <w:t xml:space="preserve"> Š</w:t>
            </w:r>
            <w:r w:rsidR="00301630" w:rsidRPr="003D566D">
              <w:rPr>
                <w:sz w:val="24"/>
                <w:szCs w:val="24"/>
                <w:lang w:eastAsia="lt-LT"/>
              </w:rPr>
              <w:t xml:space="preserve">ių straipsnių nepanaudojimo priežastis </w:t>
            </w:r>
            <w:r w:rsidR="0032287B">
              <w:rPr>
                <w:sz w:val="24"/>
                <w:szCs w:val="24"/>
                <w:lang w:eastAsia="lt-LT"/>
              </w:rPr>
              <w:t xml:space="preserve">yra </w:t>
            </w:r>
            <w:r w:rsidR="0032287B" w:rsidRPr="0032287B">
              <w:rPr>
                <w:sz w:val="24"/>
                <w:szCs w:val="24"/>
                <w:lang w:eastAsia="lt-LT"/>
              </w:rPr>
              <w:t xml:space="preserve">numatytas festivalių vykdymas 2020 m. IV </w:t>
            </w:r>
            <w:proofErr w:type="spellStart"/>
            <w:r w:rsidR="0032287B" w:rsidRPr="0032287B">
              <w:rPr>
                <w:sz w:val="24"/>
                <w:szCs w:val="24"/>
                <w:lang w:eastAsia="lt-LT"/>
              </w:rPr>
              <w:t>ketv</w:t>
            </w:r>
            <w:proofErr w:type="spellEnd"/>
            <w:r w:rsidR="00301630" w:rsidRPr="0032287B">
              <w:rPr>
                <w:sz w:val="24"/>
                <w:szCs w:val="24"/>
                <w:lang w:eastAsia="lt-LT"/>
              </w:rPr>
              <w:t>.</w:t>
            </w:r>
          </w:p>
          <w:p w14:paraId="2E36D46D" w14:textId="088035FD" w:rsidR="00F83E2F" w:rsidRDefault="00F83E2F" w:rsidP="00F83E2F">
            <w:pPr>
              <w:jc w:val="both"/>
              <w:rPr>
                <w:sz w:val="24"/>
                <w:szCs w:val="24"/>
                <w:lang w:eastAsia="lt-LT"/>
              </w:rPr>
            </w:pPr>
          </w:p>
          <w:p w14:paraId="127D65ED" w14:textId="02CFCFE1" w:rsidR="00F83E2F" w:rsidRPr="003D566D" w:rsidRDefault="00F83E2F" w:rsidP="00F83E2F">
            <w:pPr>
              <w:jc w:val="both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151 lėšų 02.01.01.11 programos </w:t>
            </w:r>
            <w:r w:rsidRPr="000C2C99">
              <w:rPr>
                <w:sz w:val="24"/>
                <w:szCs w:val="24"/>
                <w:lang w:eastAsia="lt-LT"/>
              </w:rPr>
              <w:t>atskait</w:t>
            </w:r>
            <w:r w:rsidRPr="003D566D">
              <w:rPr>
                <w:sz w:val="24"/>
                <w:szCs w:val="24"/>
                <w:lang w:eastAsia="lt-LT"/>
              </w:rPr>
              <w:t>inio laikotarpio s</w:t>
            </w:r>
            <w:r w:rsidRPr="000C2C99">
              <w:rPr>
                <w:sz w:val="24"/>
                <w:szCs w:val="24"/>
                <w:lang w:eastAsia="lt-LT"/>
              </w:rPr>
              <w:t xml:space="preserve">ąmatos </w:t>
            </w:r>
            <w:r w:rsidRPr="003D566D">
              <w:rPr>
                <w:sz w:val="24"/>
                <w:szCs w:val="24"/>
                <w:lang w:eastAsia="lt-LT"/>
              </w:rPr>
              <w:t xml:space="preserve">nepanaudojimas yra </w:t>
            </w:r>
            <w:r>
              <w:rPr>
                <w:sz w:val="24"/>
                <w:szCs w:val="24"/>
                <w:lang w:eastAsia="lt-LT"/>
              </w:rPr>
              <w:t xml:space="preserve">1778,64 </w:t>
            </w:r>
            <w:proofErr w:type="spellStart"/>
            <w:r w:rsidRPr="003D566D">
              <w:rPr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sz w:val="24"/>
                <w:szCs w:val="24"/>
                <w:lang w:eastAsia="lt-LT"/>
              </w:rPr>
              <w:t>. Visą š</w:t>
            </w:r>
            <w:r w:rsidRPr="003D566D">
              <w:rPr>
                <w:sz w:val="24"/>
                <w:szCs w:val="24"/>
                <w:lang w:eastAsia="lt-LT"/>
              </w:rPr>
              <w:t>i</w:t>
            </w:r>
            <w:r>
              <w:rPr>
                <w:sz w:val="24"/>
                <w:szCs w:val="24"/>
                <w:lang w:eastAsia="lt-LT"/>
              </w:rPr>
              <w:t>ą</w:t>
            </w:r>
            <w:r w:rsidRPr="003D566D">
              <w:rPr>
                <w:sz w:val="24"/>
                <w:szCs w:val="24"/>
                <w:lang w:eastAsia="lt-LT"/>
              </w:rPr>
              <w:t xml:space="preserve"> sum</w:t>
            </w:r>
            <w:r>
              <w:rPr>
                <w:sz w:val="24"/>
                <w:szCs w:val="24"/>
                <w:lang w:eastAsia="lt-LT"/>
              </w:rPr>
              <w:t>ą s</w:t>
            </w:r>
            <w:r w:rsidRPr="003D566D">
              <w:rPr>
                <w:sz w:val="24"/>
                <w:szCs w:val="24"/>
                <w:lang w:eastAsia="lt-LT"/>
              </w:rPr>
              <w:t>udaro</w:t>
            </w:r>
            <w:r>
              <w:rPr>
                <w:sz w:val="24"/>
                <w:szCs w:val="24"/>
                <w:lang w:eastAsia="lt-LT"/>
              </w:rPr>
              <w:t xml:space="preserve"> kitų prekių ir paslaugų įsigijimo išlaidos. Š</w:t>
            </w:r>
            <w:r w:rsidRPr="003D566D">
              <w:rPr>
                <w:sz w:val="24"/>
                <w:szCs w:val="24"/>
                <w:lang w:eastAsia="lt-LT"/>
              </w:rPr>
              <w:t>i</w:t>
            </w:r>
            <w:r>
              <w:rPr>
                <w:sz w:val="24"/>
                <w:szCs w:val="24"/>
                <w:lang w:eastAsia="lt-LT"/>
              </w:rPr>
              <w:t>o</w:t>
            </w:r>
            <w:r w:rsidRPr="003D566D">
              <w:rPr>
                <w:sz w:val="24"/>
                <w:szCs w:val="24"/>
                <w:lang w:eastAsia="lt-LT"/>
              </w:rPr>
              <w:t xml:space="preserve"> straipsni</w:t>
            </w:r>
            <w:r>
              <w:rPr>
                <w:sz w:val="24"/>
                <w:szCs w:val="24"/>
                <w:lang w:eastAsia="lt-LT"/>
              </w:rPr>
              <w:t>o</w:t>
            </w:r>
            <w:r w:rsidRPr="003D566D">
              <w:rPr>
                <w:sz w:val="24"/>
                <w:szCs w:val="24"/>
                <w:lang w:eastAsia="lt-LT"/>
              </w:rPr>
              <w:t xml:space="preserve"> nepanaudojimo priežastis </w:t>
            </w:r>
            <w:r>
              <w:rPr>
                <w:sz w:val="24"/>
                <w:szCs w:val="24"/>
                <w:lang w:eastAsia="lt-LT"/>
              </w:rPr>
              <w:t xml:space="preserve">yra projektinių renginių ir jų išlaidų nukėlimas dėl </w:t>
            </w:r>
            <w:r w:rsidRPr="003D566D">
              <w:rPr>
                <w:sz w:val="24"/>
                <w:szCs w:val="24"/>
                <w:lang w:eastAsia="lt-LT"/>
              </w:rPr>
              <w:t>COVID</w:t>
            </w:r>
            <w:r>
              <w:rPr>
                <w:sz w:val="24"/>
                <w:szCs w:val="24"/>
                <w:lang w:eastAsia="lt-LT"/>
              </w:rPr>
              <w:t>-</w:t>
            </w:r>
            <w:r w:rsidRPr="003D566D">
              <w:rPr>
                <w:sz w:val="24"/>
                <w:szCs w:val="24"/>
                <w:lang w:eastAsia="lt-LT"/>
              </w:rPr>
              <w:t>19.</w:t>
            </w:r>
          </w:p>
          <w:p w14:paraId="79E4DDC4" w14:textId="6E73CFCB" w:rsidR="00F83E2F" w:rsidRDefault="00F83E2F" w:rsidP="00F83E2F">
            <w:pPr>
              <w:jc w:val="both"/>
              <w:rPr>
                <w:sz w:val="24"/>
                <w:szCs w:val="24"/>
                <w:lang w:eastAsia="lt-LT"/>
              </w:rPr>
            </w:pPr>
          </w:p>
          <w:p w14:paraId="34DBE913" w14:textId="29895146" w:rsidR="00F83E2F" w:rsidRDefault="00F83E2F" w:rsidP="00F83E2F">
            <w:pPr>
              <w:jc w:val="both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151 lėšų 02.01.0</w:t>
            </w:r>
            <w:r w:rsidR="005E0C47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  <w:r w:rsidR="005E0C47">
              <w:rPr>
                <w:sz w:val="24"/>
                <w:szCs w:val="24"/>
                <w:lang w:eastAsia="lt-LT"/>
              </w:rPr>
              <w:t>01</w:t>
            </w:r>
            <w:r>
              <w:rPr>
                <w:sz w:val="24"/>
                <w:szCs w:val="24"/>
                <w:lang w:eastAsia="lt-LT"/>
              </w:rPr>
              <w:t xml:space="preserve"> programos </w:t>
            </w:r>
            <w:r w:rsidRPr="000C2C99">
              <w:rPr>
                <w:sz w:val="24"/>
                <w:szCs w:val="24"/>
                <w:lang w:eastAsia="lt-LT"/>
              </w:rPr>
              <w:t>atskait</w:t>
            </w:r>
            <w:r w:rsidRPr="003D566D">
              <w:rPr>
                <w:sz w:val="24"/>
                <w:szCs w:val="24"/>
                <w:lang w:eastAsia="lt-LT"/>
              </w:rPr>
              <w:t>inio laikotarpio s</w:t>
            </w:r>
            <w:r w:rsidRPr="000C2C99">
              <w:rPr>
                <w:sz w:val="24"/>
                <w:szCs w:val="24"/>
                <w:lang w:eastAsia="lt-LT"/>
              </w:rPr>
              <w:t xml:space="preserve">ąmatos </w:t>
            </w:r>
            <w:r w:rsidRPr="003D566D">
              <w:rPr>
                <w:sz w:val="24"/>
                <w:szCs w:val="24"/>
                <w:lang w:eastAsia="lt-LT"/>
              </w:rPr>
              <w:t xml:space="preserve">nepanaudojimas yra </w:t>
            </w:r>
            <w:r w:rsidR="005E0C47">
              <w:rPr>
                <w:sz w:val="24"/>
                <w:szCs w:val="24"/>
                <w:lang w:eastAsia="lt-LT"/>
              </w:rPr>
              <w:t>13178,32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D566D">
              <w:rPr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="005E0C47" w:rsidRPr="003D566D">
              <w:rPr>
                <w:sz w:val="24"/>
                <w:szCs w:val="24"/>
                <w:lang w:eastAsia="lt-LT"/>
              </w:rPr>
              <w:t>Šitios</w:t>
            </w:r>
            <w:proofErr w:type="spellEnd"/>
            <w:r w:rsidR="005E0C47" w:rsidRPr="003D566D">
              <w:rPr>
                <w:sz w:val="24"/>
                <w:szCs w:val="24"/>
                <w:lang w:eastAsia="lt-LT"/>
              </w:rPr>
              <w:t xml:space="preserve"> sumos didelę dalį sudaro darbo užmokes</w:t>
            </w:r>
            <w:r w:rsidR="005E0C47">
              <w:rPr>
                <w:sz w:val="24"/>
                <w:szCs w:val="24"/>
                <w:lang w:eastAsia="lt-LT"/>
              </w:rPr>
              <w:t xml:space="preserve">čio </w:t>
            </w:r>
            <w:r w:rsidR="005E0C47" w:rsidRPr="003D566D">
              <w:rPr>
                <w:sz w:val="24"/>
                <w:szCs w:val="24"/>
                <w:lang w:eastAsia="lt-LT"/>
              </w:rPr>
              <w:t>(</w:t>
            </w:r>
            <w:r w:rsidR="005E0C47">
              <w:rPr>
                <w:sz w:val="24"/>
                <w:szCs w:val="24"/>
                <w:lang w:eastAsia="lt-LT"/>
              </w:rPr>
              <w:t>11272,80</w:t>
            </w:r>
            <w:r w:rsidR="005E0C47" w:rsidRPr="003D566D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E0C47" w:rsidRPr="003D566D">
              <w:rPr>
                <w:sz w:val="24"/>
                <w:szCs w:val="24"/>
                <w:lang w:eastAsia="lt-LT"/>
              </w:rPr>
              <w:t>Eur</w:t>
            </w:r>
            <w:proofErr w:type="spellEnd"/>
            <w:r w:rsidR="005E0C47" w:rsidRPr="003D566D">
              <w:rPr>
                <w:sz w:val="24"/>
                <w:szCs w:val="24"/>
                <w:lang w:eastAsia="lt-LT"/>
              </w:rPr>
              <w:t xml:space="preserve">) </w:t>
            </w:r>
            <w:r w:rsidR="005E0C47">
              <w:rPr>
                <w:sz w:val="24"/>
                <w:szCs w:val="24"/>
                <w:lang w:eastAsia="lt-LT"/>
              </w:rPr>
              <w:t xml:space="preserve">ir </w:t>
            </w:r>
            <w:r w:rsidR="005E0C47" w:rsidRPr="003D566D">
              <w:rPr>
                <w:sz w:val="24"/>
                <w:szCs w:val="24"/>
                <w:lang w:eastAsia="lt-LT"/>
              </w:rPr>
              <w:t>komunalinių paslaugų (</w:t>
            </w:r>
            <w:r w:rsidR="005E0C47">
              <w:rPr>
                <w:sz w:val="24"/>
                <w:szCs w:val="24"/>
                <w:lang w:eastAsia="lt-LT"/>
              </w:rPr>
              <w:t>1294,21</w:t>
            </w:r>
            <w:r w:rsidR="005E0C47" w:rsidRPr="003D566D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E0C47" w:rsidRPr="003D566D">
              <w:rPr>
                <w:sz w:val="24"/>
                <w:szCs w:val="24"/>
                <w:lang w:eastAsia="lt-LT"/>
              </w:rPr>
              <w:t>Eur</w:t>
            </w:r>
            <w:proofErr w:type="spellEnd"/>
            <w:r w:rsidR="005E0C47" w:rsidRPr="003D566D">
              <w:rPr>
                <w:sz w:val="24"/>
                <w:szCs w:val="24"/>
                <w:lang w:eastAsia="lt-LT"/>
              </w:rPr>
              <w:t>)</w:t>
            </w:r>
            <w:r>
              <w:rPr>
                <w:sz w:val="24"/>
                <w:szCs w:val="24"/>
                <w:lang w:eastAsia="lt-LT"/>
              </w:rPr>
              <w:t xml:space="preserve"> įsigijimo išlaidos.</w:t>
            </w:r>
            <w:r w:rsidR="00FC3D0B">
              <w:rPr>
                <w:sz w:val="24"/>
                <w:szCs w:val="24"/>
                <w:lang w:eastAsia="lt-LT"/>
              </w:rPr>
              <w:t xml:space="preserve"> </w:t>
            </w:r>
          </w:p>
          <w:p w14:paraId="16605041" w14:textId="07F3861D" w:rsidR="00FC3D0B" w:rsidRDefault="00FC3D0B" w:rsidP="00F83E2F">
            <w:pPr>
              <w:jc w:val="both"/>
              <w:rPr>
                <w:sz w:val="24"/>
                <w:szCs w:val="24"/>
                <w:lang w:eastAsia="lt-LT"/>
              </w:rPr>
            </w:pPr>
          </w:p>
          <w:p w14:paraId="0540359A" w14:textId="1FB3654C" w:rsidR="00FC3D0B" w:rsidRPr="00FC3D0B" w:rsidRDefault="00FC3D0B" w:rsidP="00FC3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 </w:t>
            </w:r>
            <w:r w:rsidRPr="00FC3D0B">
              <w:rPr>
                <w:sz w:val="24"/>
                <w:szCs w:val="24"/>
              </w:rPr>
              <w:t xml:space="preserve">lėšų per III ketvirčius </w:t>
            </w:r>
            <w:r>
              <w:rPr>
                <w:sz w:val="24"/>
                <w:szCs w:val="24"/>
              </w:rPr>
              <w:t xml:space="preserve">gauta asignavimų </w:t>
            </w:r>
            <w:r w:rsidR="008D3D16">
              <w:rPr>
                <w:sz w:val="24"/>
                <w:szCs w:val="24"/>
              </w:rPr>
              <w:t>106243,04</w:t>
            </w:r>
            <w:r w:rsidRPr="00FC3D0B">
              <w:rPr>
                <w:sz w:val="24"/>
                <w:szCs w:val="24"/>
              </w:rPr>
              <w:t xml:space="preserve"> </w:t>
            </w:r>
            <w:proofErr w:type="spellStart"/>
            <w:r w:rsidRPr="00FC3D0B">
              <w:rPr>
                <w:sz w:val="24"/>
                <w:szCs w:val="24"/>
              </w:rPr>
              <w:t>Eur</w:t>
            </w:r>
            <w:proofErr w:type="spellEnd"/>
            <w:r w:rsidRPr="00FC3D0B">
              <w:rPr>
                <w:sz w:val="24"/>
                <w:szCs w:val="24"/>
              </w:rPr>
              <w:t xml:space="preserve"> – panaudota </w:t>
            </w:r>
            <w:r w:rsidR="008D3D16">
              <w:rPr>
                <w:sz w:val="24"/>
                <w:szCs w:val="24"/>
              </w:rPr>
              <w:t xml:space="preserve">106224,77 </w:t>
            </w:r>
            <w:proofErr w:type="spellStart"/>
            <w:r w:rsidRPr="00FC3D0B">
              <w:rPr>
                <w:sz w:val="24"/>
                <w:szCs w:val="24"/>
              </w:rPr>
              <w:t>Eur</w:t>
            </w:r>
            <w:proofErr w:type="spellEnd"/>
            <w:r w:rsidRPr="00FC3D0B">
              <w:rPr>
                <w:sz w:val="24"/>
                <w:szCs w:val="24"/>
              </w:rPr>
              <w:t xml:space="preserve">. </w:t>
            </w:r>
            <w:r w:rsidR="008D3D16">
              <w:rPr>
                <w:sz w:val="24"/>
                <w:szCs w:val="24"/>
              </w:rPr>
              <w:t xml:space="preserve">Lėšų </w:t>
            </w:r>
            <w:r w:rsidRPr="00FC3D0B">
              <w:rPr>
                <w:sz w:val="24"/>
                <w:szCs w:val="24"/>
              </w:rPr>
              <w:t>lik</w:t>
            </w:r>
            <w:r w:rsidR="008D3D16">
              <w:rPr>
                <w:sz w:val="24"/>
                <w:szCs w:val="24"/>
              </w:rPr>
              <w:t>utis</w:t>
            </w:r>
            <w:r w:rsidRPr="00FC3D0B">
              <w:rPr>
                <w:sz w:val="24"/>
                <w:szCs w:val="24"/>
              </w:rPr>
              <w:t xml:space="preserve"> banke likutis </w:t>
            </w:r>
            <w:r w:rsidR="008D3D16">
              <w:rPr>
                <w:sz w:val="24"/>
                <w:szCs w:val="24"/>
              </w:rPr>
              <w:t xml:space="preserve">18,27 </w:t>
            </w:r>
            <w:proofErr w:type="spellStart"/>
            <w:r w:rsidR="008D3D16">
              <w:rPr>
                <w:sz w:val="24"/>
                <w:szCs w:val="24"/>
              </w:rPr>
              <w:t>Eur</w:t>
            </w:r>
            <w:proofErr w:type="spellEnd"/>
            <w:r w:rsidR="008D3D16">
              <w:rPr>
                <w:sz w:val="24"/>
                <w:szCs w:val="24"/>
              </w:rPr>
              <w:t xml:space="preserve"> (</w:t>
            </w:r>
            <w:proofErr w:type="spellStart"/>
            <w:r w:rsidRPr="00FC3D0B">
              <w:rPr>
                <w:sz w:val="24"/>
                <w:szCs w:val="24"/>
              </w:rPr>
              <w:t>soc</w:t>
            </w:r>
            <w:proofErr w:type="spellEnd"/>
            <w:r w:rsidRPr="00FC3D0B">
              <w:rPr>
                <w:sz w:val="24"/>
                <w:szCs w:val="24"/>
              </w:rPr>
              <w:t>.</w:t>
            </w:r>
            <w:r w:rsidR="008D3D16">
              <w:rPr>
                <w:sz w:val="24"/>
                <w:szCs w:val="24"/>
              </w:rPr>
              <w:t xml:space="preserve"> </w:t>
            </w:r>
            <w:r w:rsidRPr="00FC3D0B">
              <w:rPr>
                <w:sz w:val="24"/>
                <w:szCs w:val="24"/>
              </w:rPr>
              <w:t xml:space="preserve">draudimo </w:t>
            </w:r>
            <w:r w:rsidR="008D3D16">
              <w:rPr>
                <w:sz w:val="24"/>
                <w:szCs w:val="24"/>
              </w:rPr>
              <w:t>įmokų</w:t>
            </w:r>
            <w:r w:rsidRPr="00FC3D0B">
              <w:rPr>
                <w:sz w:val="24"/>
                <w:szCs w:val="24"/>
              </w:rPr>
              <w:t xml:space="preserve"> </w:t>
            </w:r>
            <w:r w:rsidR="008D3D16">
              <w:rPr>
                <w:sz w:val="24"/>
                <w:szCs w:val="24"/>
              </w:rPr>
              <w:t>ir kitų prekių bei paslaugų</w:t>
            </w:r>
            <w:r w:rsidRPr="00FC3D0B">
              <w:rPr>
                <w:sz w:val="24"/>
                <w:szCs w:val="24"/>
              </w:rPr>
              <w:t>)</w:t>
            </w:r>
            <w:r w:rsidR="008D3D16">
              <w:rPr>
                <w:sz w:val="24"/>
                <w:szCs w:val="24"/>
              </w:rPr>
              <w:t>.</w:t>
            </w:r>
          </w:p>
          <w:p w14:paraId="246CB85D" w14:textId="77777777" w:rsidR="00FC3D0B" w:rsidRPr="00FC3D0B" w:rsidRDefault="00FC3D0B" w:rsidP="00F83E2F">
            <w:pPr>
              <w:jc w:val="both"/>
              <w:rPr>
                <w:sz w:val="24"/>
                <w:szCs w:val="24"/>
                <w:lang w:eastAsia="lt-LT"/>
              </w:rPr>
            </w:pPr>
          </w:p>
          <w:p w14:paraId="3DD323F6" w14:textId="60E5A246" w:rsidR="002D240D" w:rsidRPr="003D566D" w:rsidRDefault="002D240D" w:rsidP="00DF6BC4">
            <w:pPr>
              <w:jc w:val="both"/>
              <w:rPr>
                <w:sz w:val="24"/>
                <w:szCs w:val="24"/>
                <w:lang w:eastAsia="lt-LT"/>
              </w:rPr>
            </w:pPr>
            <w:r w:rsidRPr="003D566D">
              <w:rPr>
                <w:sz w:val="24"/>
                <w:szCs w:val="24"/>
                <w:lang w:eastAsia="lt-LT"/>
              </w:rPr>
              <w:t>SP-3</w:t>
            </w:r>
            <w:r>
              <w:rPr>
                <w:sz w:val="24"/>
                <w:szCs w:val="24"/>
                <w:lang w:eastAsia="lt-LT"/>
              </w:rPr>
              <w:t>2 lėšų</w:t>
            </w:r>
            <w:r w:rsidRPr="003D566D">
              <w:rPr>
                <w:sz w:val="24"/>
                <w:szCs w:val="24"/>
                <w:lang w:eastAsia="lt-LT"/>
              </w:rPr>
              <w:t xml:space="preserve"> s</w:t>
            </w:r>
            <w:r w:rsidRPr="000C2C99">
              <w:rPr>
                <w:sz w:val="24"/>
                <w:szCs w:val="24"/>
                <w:lang w:eastAsia="lt-LT"/>
              </w:rPr>
              <w:t xml:space="preserve">ąmatos </w:t>
            </w:r>
            <w:r w:rsidRPr="003D566D">
              <w:rPr>
                <w:sz w:val="24"/>
                <w:szCs w:val="24"/>
                <w:lang w:eastAsia="lt-LT"/>
              </w:rPr>
              <w:t xml:space="preserve">nepanaudojimas </w:t>
            </w:r>
            <w:r w:rsidRPr="000C2C99">
              <w:rPr>
                <w:sz w:val="24"/>
                <w:szCs w:val="24"/>
                <w:lang w:eastAsia="lt-LT"/>
              </w:rPr>
              <w:t>atskait</w:t>
            </w:r>
            <w:r w:rsidRPr="003D566D">
              <w:rPr>
                <w:sz w:val="24"/>
                <w:szCs w:val="24"/>
                <w:lang w:eastAsia="lt-LT"/>
              </w:rPr>
              <w:t xml:space="preserve">inio laikotarpio yra </w:t>
            </w:r>
            <w:r>
              <w:rPr>
                <w:sz w:val="24"/>
                <w:szCs w:val="24"/>
                <w:lang w:eastAsia="lt-LT"/>
              </w:rPr>
              <w:t>19</w:t>
            </w:r>
            <w:r w:rsidR="00A559B1">
              <w:rPr>
                <w:sz w:val="24"/>
                <w:szCs w:val="24"/>
                <w:lang w:eastAsia="lt-LT"/>
              </w:rPr>
              <w:t xml:space="preserve">21,90 </w:t>
            </w:r>
            <w:proofErr w:type="spellStart"/>
            <w:r w:rsidRPr="003D566D">
              <w:rPr>
                <w:sz w:val="24"/>
                <w:szCs w:val="24"/>
                <w:lang w:eastAsia="lt-LT"/>
              </w:rPr>
              <w:t>Eur</w:t>
            </w:r>
            <w:proofErr w:type="spellEnd"/>
            <w:r w:rsidRPr="003D566D">
              <w:rPr>
                <w:sz w:val="24"/>
                <w:szCs w:val="24"/>
                <w:lang w:eastAsia="lt-LT"/>
              </w:rPr>
              <w:t>. Šit</w:t>
            </w:r>
            <w:r w:rsidR="00A559B1">
              <w:rPr>
                <w:sz w:val="24"/>
                <w:szCs w:val="24"/>
                <w:lang w:eastAsia="lt-LT"/>
              </w:rPr>
              <w:t>ą</w:t>
            </w:r>
            <w:r w:rsidRPr="003D566D">
              <w:rPr>
                <w:sz w:val="24"/>
                <w:szCs w:val="24"/>
                <w:lang w:eastAsia="lt-LT"/>
              </w:rPr>
              <w:t xml:space="preserve"> sum</w:t>
            </w:r>
            <w:r w:rsidR="00A559B1">
              <w:rPr>
                <w:sz w:val="24"/>
                <w:szCs w:val="24"/>
                <w:lang w:eastAsia="lt-LT"/>
              </w:rPr>
              <w:t>os didelę</w:t>
            </w:r>
            <w:r w:rsidRPr="003D566D">
              <w:rPr>
                <w:sz w:val="24"/>
                <w:szCs w:val="24"/>
                <w:lang w:eastAsia="lt-LT"/>
              </w:rPr>
              <w:t xml:space="preserve"> </w:t>
            </w:r>
            <w:r w:rsidR="00A559B1">
              <w:rPr>
                <w:sz w:val="24"/>
                <w:szCs w:val="24"/>
                <w:lang w:eastAsia="lt-LT"/>
              </w:rPr>
              <w:t>dalį s</w:t>
            </w:r>
            <w:r w:rsidRPr="003D566D">
              <w:rPr>
                <w:sz w:val="24"/>
                <w:szCs w:val="24"/>
                <w:lang w:eastAsia="lt-LT"/>
              </w:rPr>
              <w:t xml:space="preserve">udaro </w:t>
            </w:r>
            <w:r w:rsidR="00A559B1">
              <w:rPr>
                <w:sz w:val="24"/>
                <w:szCs w:val="24"/>
                <w:lang w:eastAsia="lt-LT"/>
              </w:rPr>
              <w:t>informacinių technologijų prekių ir paslaugų</w:t>
            </w:r>
            <w:r w:rsidR="00A559B1" w:rsidRPr="003D566D">
              <w:rPr>
                <w:sz w:val="24"/>
                <w:szCs w:val="24"/>
                <w:lang w:eastAsia="lt-LT"/>
              </w:rPr>
              <w:t xml:space="preserve"> (</w:t>
            </w:r>
            <w:r w:rsidR="00A559B1">
              <w:rPr>
                <w:sz w:val="24"/>
                <w:szCs w:val="24"/>
                <w:lang w:eastAsia="lt-LT"/>
              </w:rPr>
              <w:t>536,81</w:t>
            </w:r>
            <w:r w:rsidR="00A559B1" w:rsidRPr="003D566D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59B1" w:rsidRPr="003D566D">
              <w:rPr>
                <w:sz w:val="24"/>
                <w:szCs w:val="24"/>
                <w:lang w:eastAsia="lt-LT"/>
              </w:rPr>
              <w:t>Eur</w:t>
            </w:r>
            <w:proofErr w:type="spellEnd"/>
            <w:r w:rsidR="00A559B1" w:rsidRPr="003D566D">
              <w:rPr>
                <w:sz w:val="24"/>
                <w:szCs w:val="24"/>
                <w:lang w:eastAsia="lt-LT"/>
              </w:rPr>
              <w:t>)</w:t>
            </w:r>
            <w:r w:rsidR="00A559B1">
              <w:rPr>
                <w:sz w:val="24"/>
                <w:szCs w:val="24"/>
                <w:lang w:eastAsia="lt-LT"/>
              </w:rPr>
              <w:t xml:space="preserve">, kitų prekių ir paslaugų (512,19 </w:t>
            </w:r>
            <w:proofErr w:type="spellStart"/>
            <w:r w:rsidR="00A559B1">
              <w:rPr>
                <w:sz w:val="24"/>
                <w:szCs w:val="24"/>
                <w:lang w:eastAsia="lt-LT"/>
              </w:rPr>
              <w:t>Eur</w:t>
            </w:r>
            <w:proofErr w:type="spellEnd"/>
            <w:r w:rsidR="00A559B1">
              <w:rPr>
                <w:sz w:val="24"/>
                <w:szCs w:val="24"/>
                <w:lang w:eastAsia="lt-LT"/>
              </w:rPr>
              <w:t>) ir ryšių įrangos ir ryšių paslaugų</w:t>
            </w:r>
            <w:r w:rsidR="00A559B1" w:rsidRPr="003D566D">
              <w:rPr>
                <w:sz w:val="24"/>
                <w:szCs w:val="24"/>
                <w:lang w:eastAsia="lt-LT"/>
              </w:rPr>
              <w:t xml:space="preserve"> (</w:t>
            </w:r>
            <w:r w:rsidR="00A559B1">
              <w:rPr>
                <w:sz w:val="24"/>
                <w:szCs w:val="24"/>
                <w:lang w:eastAsia="lt-LT"/>
              </w:rPr>
              <w:t>392,30</w:t>
            </w:r>
            <w:r w:rsidR="00A559B1" w:rsidRPr="003D566D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59B1" w:rsidRPr="003D566D">
              <w:rPr>
                <w:sz w:val="24"/>
                <w:szCs w:val="24"/>
                <w:lang w:eastAsia="lt-LT"/>
              </w:rPr>
              <w:t>Eur</w:t>
            </w:r>
            <w:proofErr w:type="spellEnd"/>
            <w:r w:rsidR="00A559B1" w:rsidRPr="003D566D">
              <w:rPr>
                <w:sz w:val="24"/>
                <w:szCs w:val="24"/>
                <w:lang w:eastAsia="lt-LT"/>
              </w:rPr>
              <w:t>)</w:t>
            </w:r>
            <w:r w:rsidR="00A559B1">
              <w:rPr>
                <w:sz w:val="24"/>
                <w:szCs w:val="24"/>
                <w:lang w:eastAsia="lt-LT"/>
              </w:rPr>
              <w:t xml:space="preserve"> įsigijimo išlaidos, </w:t>
            </w:r>
            <w:r w:rsidRPr="003D566D">
              <w:rPr>
                <w:sz w:val="24"/>
                <w:szCs w:val="24"/>
                <w:lang w:eastAsia="lt-LT"/>
              </w:rPr>
              <w:t xml:space="preserve">likusios sumos </w:t>
            </w:r>
            <w:r w:rsidRPr="003D566D">
              <w:rPr>
                <w:sz w:val="24"/>
                <w:szCs w:val="24"/>
                <w:lang w:eastAsia="lt-LT"/>
              </w:rPr>
              <w:lastRenderedPageBreak/>
              <w:t xml:space="preserve">yra </w:t>
            </w:r>
            <w:r w:rsidR="00A559B1">
              <w:rPr>
                <w:sz w:val="24"/>
                <w:szCs w:val="24"/>
                <w:lang w:eastAsia="lt-LT"/>
              </w:rPr>
              <w:t>komandiruočių išlaidos</w:t>
            </w:r>
            <w:r w:rsidRPr="003D566D">
              <w:rPr>
                <w:sz w:val="24"/>
                <w:szCs w:val="24"/>
                <w:lang w:eastAsia="lt-LT"/>
              </w:rPr>
              <w:t xml:space="preserve"> (</w:t>
            </w:r>
            <w:r w:rsidR="00A559B1">
              <w:rPr>
                <w:sz w:val="24"/>
                <w:szCs w:val="24"/>
                <w:lang w:eastAsia="lt-LT"/>
              </w:rPr>
              <w:t>184,04</w:t>
            </w:r>
            <w:r w:rsidRPr="003D566D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D566D">
              <w:rPr>
                <w:sz w:val="24"/>
                <w:szCs w:val="24"/>
                <w:lang w:eastAsia="lt-LT"/>
              </w:rPr>
              <w:t>Eur</w:t>
            </w:r>
            <w:proofErr w:type="spellEnd"/>
            <w:r w:rsidRPr="003D566D">
              <w:rPr>
                <w:sz w:val="24"/>
                <w:szCs w:val="24"/>
                <w:lang w:eastAsia="lt-LT"/>
              </w:rPr>
              <w:t>)</w:t>
            </w:r>
            <w:r w:rsidR="00A559B1">
              <w:rPr>
                <w:sz w:val="24"/>
                <w:szCs w:val="24"/>
                <w:lang w:eastAsia="lt-LT"/>
              </w:rPr>
              <w:t xml:space="preserve">, kvalifikacijos kėlimo </w:t>
            </w:r>
            <w:r w:rsidR="00A559B1" w:rsidRPr="003D566D">
              <w:rPr>
                <w:sz w:val="24"/>
                <w:szCs w:val="24"/>
                <w:lang w:eastAsia="lt-LT"/>
              </w:rPr>
              <w:t>(</w:t>
            </w:r>
            <w:r w:rsidR="00A559B1">
              <w:rPr>
                <w:sz w:val="24"/>
                <w:szCs w:val="24"/>
                <w:lang w:eastAsia="lt-LT"/>
              </w:rPr>
              <w:t>179,00</w:t>
            </w:r>
            <w:r w:rsidR="00A559B1" w:rsidRPr="003D566D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559B1" w:rsidRPr="003D566D">
              <w:rPr>
                <w:sz w:val="24"/>
                <w:szCs w:val="24"/>
                <w:lang w:eastAsia="lt-LT"/>
              </w:rPr>
              <w:t>Eur</w:t>
            </w:r>
            <w:proofErr w:type="spellEnd"/>
            <w:r w:rsidR="00A559B1" w:rsidRPr="003D566D">
              <w:rPr>
                <w:sz w:val="24"/>
                <w:szCs w:val="24"/>
                <w:lang w:eastAsia="lt-LT"/>
              </w:rPr>
              <w:t xml:space="preserve">) </w:t>
            </w:r>
            <w:r w:rsidRPr="003D566D">
              <w:rPr>
                <w:sz w:val="24"/>
                <w:szCs w:val="24"/>
                <w:lang w:eastAsia="lt-LT"/>
              </w:rPr>
              <w:t xml:space="preserve"> ir m</w:t>
            </w:r>
            <w:r w:rsidR="00DF6BC4">
              <w:rPr>
                <w:sz w:val="24"/>
                <w:szCs w:val="24"/>
                <w:lang w:eastAsia="lt-LT"/>
              </w:rPr>
              <w:t>aterialiojo turto paprastojo remonto prekių ir paslaugų</w:t>
            </w:r>
            <w:r w:rsidRPr="003D566D">
              <w:rPr>
                <w:sz w:val="24"/>
                <w:szCs w:val="24"/>
                <w:lang w:eastAsia="lt-LT"/>
              </w:rPr>
              <w:t xml:space="preserve"> (</w:t>
            </w:r>
            <w:r w:rsidR="00DF6BC4">
              <w:rPr>
                <w:sz w:val="24"/>
                <w:szCs w:val="24"/>
                <w:lang w:eastAsia="lt-LT"/>
              </w:rPr>
              <w:t xml:space="preserve">117,56 </w:t>
            </w:r>
            <w:proofErr w:type="spellStart"/>
            <w:r w:rsidRPr="003D566D">
              <w:rPr>
                <w:sz w:val="24"/>
                <w:szCs w:val="24"/>
                <w:lang w:eastAsia="lt-LT"/>
              </w:rPr>
              <w:t>Eur</w:t>
            </w:r>
            <w:proofErr w:type="spellEnd"/>
            <w:r w:rsidRPr="003D566D">
              <w:rPr>
                <w:sz w:val="24"/>
                <w:szCs w:val="24"/>
                <w:lang w:eastAsia="lt-LT"/>
              </w:rPr>
              <w:t>)</w:t>
            </w:r>
            <w:r w:rsidR="00DF6BC4">
              <w:rPr>
                <w:sz w:val="24"/>
                <w:szCs w:val="24"/>
                <w:lang w:eastAsia="lt-LT"/>
              </w:rPr>
              <w:t>. Š</w:t>
            </w:r>
            <w:r w:rsidRPr="003D566D">
              <w:rPr>
                <w:sz w:val="24"/>
                <w:szCs w:val="24"/>
                <w:lang w:eastAsia="lt-LT"/>
              </w:rPr>
              <w:t xml:space="preserve">ių straipsnių nepanaudojimo priežastis </w:t>
            </w:r>
            <w:r w:rsidR="00DF6BC4">
              <w:rPr>
                <w:sz w:val="24"/>
                <w:szCs w:val="24"/>
                <w:lang w:eastAsia="lt-LT"/>
              </w:rPr>
              <w:t xml:space="preserve">yra </w:t>
            </w:r>
            <w:r w:rsidR="00690EFC">
              <w:rPr>
                <w:sz w:val="24"/>
                <w:szCs w:val="24"/>
                <w:lang w:eastAsia="lt-LT"/>
              </w:rPr>
              <w:t>planuojamas lėšų perkėlimas ir ilgalaikio turto įsigijimas 2020 m. IV ketvirtyje</w:t>
            </w:r>
            <w:bookmarkStart w:id="0" w:name="_GoBack"/>
            <w:bookmarkEnd w:id="0"/>
            <w:r w:rsidRPr="003D566D">
              <w:rPr>
                <w:sz w:val="24"/>
                <w:szCs w:val="24"/>
                <w:lang w:eastAsia="lt-LT"/>
              </w:rPr>
              <w:t>.</w:t>
            </w:r>
          </w:p>
          <w:p w14:paraId="577EDBBE" w14:textId="77777777" w:rsidR="0098026F" w:rsidRPr="003D566D" w:rsidRDefault="0098026F" w:rsidP="0050327B">
            <w:pPr>
              <w:ind w:left="-106" w:firstLine="142"/>
              <w:jc w:val="both"/>
              <w:rPr>
                <w:sz w:val="24"/>
                <w:szCs w:val="24"/>
                <w:lang w:eastAsia="lt-LT"/>
              </w:rPr>
            </w:pPr>
          </w:p>
          <w:p w14:paraId="38C0DDAB" w14:textId="2BEDF231" w:rsidR="00AB2ECE" w:rsidRPr="003D566D" w:rsidRDefault="00D93BA8" w:rsidP="0050327B">
            <w:pPr>
              <w:ind w:left="-106" w:firstLine="142"/>
              <w:jc w:val="both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Negauti asignavimai (pagal sąmatas) bus panaudoti 2020 m. IV </w:t>
            </w:r>
            <w:proofErr w:type="spellStart"/>
            <w:r>
              <w:rPr>
                <w:sz w:val="24"/>
                <w:szCs w:val="24"/>
                <w:lang w:eastAsia="lt-LT"/>
              </w:rPr>
              <w:t>ketv</w:t>
            </w:r>
            <w:proofErr w:type="spellEnd"/>
            <w:r>
              <w:rPr>
                <w:sz w:val="24"/>
                <w:szCs w:val="24"/>
                <w:lang w:eastAsia="lt-LT"/>
              </w:rPr>
              <w:t>.</w:t>
            </w:r>
          </w:p>
          <w:p w14:paraId="5A04B433" w14:textId="77777777" w:rsidR="00AB2ECE" w:rsidRPr="003D566D" w:rsidRDefault="00AB2ECE" w:rsidP="0050327B">
            <w:pPr>
              <w:ind w:left="-106" w:firstLine="142"/>
              <w:jc w:val="both"/>
              <w:rPr>
                <w:sz w:val="24"/>
                <w:szCs w:val="24"/>
                <w:lang w:eastAsia="lt-LT"/>
              </w:rPr>
            </w:pPr>
          </w:p>
          <w:p w14:paraId="0181E285" w14:textId="24009098" w:rsidR="00AB2ECE" w:rsidRPr="003D566D" w:rsidRDefault="003D566D" w:rsidP="00E2183E">
            <w:pPr>
              <w:ind w:firstLine="36"/>
              <w:jc w:val="both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Ataskaitinio laikotarpio pabaigoje likusių mokėtinų sumų, kurių apmokėjimo terminas yra suėjęs </w:t>
            </w:r>
            <w:r w:rsidR="00DA6EB1">
              <w:rPr>
                <w:sz w:val="24"/>
                <w:szCs w:val="24"/>
                <w:lang w:eastAsia="lt-LT"/>
              </w:rPr>
              <w:t>į</w:t>
            </w:r>
            <w:r w:rsidR="00DF6BC4">
              <w:rPr>
                <w:sz w:val="24"/>
                <w:szCs w:val="24"/>
                <w:lang w:eastAsia="lt-LT"/>
              </w:rPr>
              <w:t xml:space="preserve">staiga </w:t>
            </w:r>
            <w:r>
              <w:rPr>
                <w:sz w:val="24"/>
                <w:szCs w:val="24"/>
                <w:lang w:eastAsia="lt-LT"/>
              </w:rPr>
              <w:t>neturi.</w:t>
            </w:r>
          </w:p>
          <w:p w14:paraId="6EDBC18F" w14:textId="77777777" w:rsidR="00AB2ECE" w:rsidRPr="000C2C99" w:rsidRDefault="00AB2ECE" w:rsidP="0050327B">
            <w:pPr>
              <w:ind w:left="-106" w:firstLine="391"/>
              <w:jc w:val="both"/>
              <w:rPr>
                <w:sz w:val="24"/>
                <w:szCs w:val="24"/>
                <w:lang w:eastAsia="lt-LT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8275" w14:textId="77777777" w:rsidR="000C2C99" w:rsidRPr="000C2C99" w:rsidRDefault="000C2C99" w:rsidP="0050327B">
            <w:pPr>
              <w:ind w:left="-106" w:firstLine="391"/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C374" w14:textId="77777777" w:rsidR="000C2C99" w:rsidRPr="000C2C99" w:rsidRDefault="000C2C99" w:rsidP="0050327B">
            <w:pPr>
              <w:ind w:left="-106" w:firstLine="391"/>
              <w:jc w:val="both"/>
              <w:rPr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2A34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</w:tr>
      <w:tr w:rsidR="000C2C99" w:rsidRPr="000C2C99" w14:paraId="18752FFF" w14:textId="77777777" w:rsidTr="0050327B">
        <w:trPr>
          <w:gridAfter w:val="4"/>
          <w:wAfter w:w="1561" w:type="dxa"/>
          <w:trHeight w:val="255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FD0E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D15C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9702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E060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82A4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9728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C19B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3C9C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1CB0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7AFA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D085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</w:tr>
      <w:tr w:rsidR="000C2C99" w:rsidRPr="000C2C99" w14:paraId="532117A5" w14:textId="77777777" w:rsidTr="0050327B">
        <w:trPr>
          <w:gridAfter w:val="4"/>
          <w:wAfter w:w="1561" w:type="dxa"/>
          <w:trHeight w:val="315"/>
        </w:trPr>
        <w:tc>
          <w:tcPr>
            <w:tcW w:w="6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F0D86" w14:textId="77777777" w:rsidR="000C2C99" w:rsidRPr="000C2C99" w:rsidRDefault="000C2C99" w:rsidP="000C2C9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6ADE3" w14:textId="77777777" w:rsidR="000C2C99" w:rsidRPr="000C2C99" w:rsidRDefault="000C2C99" w:rsidP="000C2C9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9BFFF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6E03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40A6F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</w:tr>
    </w:tbl>
    <w:p w14:paraId="727CAA5C" w14:textId="735735BE" w:rsidR="0017344A" w:rsidRPr="0017344A" w:rsidRDefault="0017344A" w:rsidP="00E2183E">
      <w:p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L.e.p</w:t>
      </w:r>
      <w:proofErr w:type="spellEnd"/>
      <w:r>
        <w:rPr>
          <w:sz w:val="24"/>
          <w:szCs w:val="24"/>
        </w:rPr>
        <w:t>. direktorė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Ernesta Šimkienė</w:t>
      </w:r>
    </w:p>
    <w:p w14:paraId="33A0816F" w14:textId="77777777" w:rsidR="0017344A" w:rsidRPr="0017344A" w:rsidRDefault="0017344A" w:rsidP="00E2183E">
      <w:pPr>
        <w:ind w:left="426"/>
        <w:jc w:val="both"/>
        <w:rPr>
          <w:sz w:val="24"/>
          <w:szCs w:val="24"/>
        </w:rPr>
      </w:pPr>
    </w:p>
    <w:p w14:paraId="510D33BA" w14:textId="77777777" w:rsidR="00E2183E" w:rsidRPr="002202D4" w:rsidRDefault="00E2183E" w:rsidP="00E2183E">
      <w:pPr>
        <w:ind w:left="426"/>
        <w:jc w:val="both"/>
        <w:rPr>
          <w:sz w:val="24"/>
          <w:szCs w:val="24"/>
        </w:rPr>
      </w:pPr>
      <w:r w:rsidRPr="002202D4">
        <w:rPr>
          <w:sz w:val="24"/>
          <w:szCs w:val="24"/>
        </w:rPr>
        <w:t>Šiaulių miesto savivaldybės Švietimo centro</w:t>
      </w:r>
    </w:p>
    <w:p w14:paraId="02864BF4" w14:textId="77777777" w:rsidR="00E2183E" w:rsidRDefault="00E2183E" w:rsidP="00E2183E">
      <w:pPr>
        <w:ind w:left="426"/>
        <w:jc w:val="both"/>
        <w:rPr>
          <w:sz w:val="24"/>
          <w:szCs w:val="24"/>
        </w:rPr>
      </w:pPr>
      <w:r w:rsidRPr="002202D4">
        <w:rPr>
          <w:sz w:val="24"/>
          <w:szCs w:val="24"/>
        </w:rPr>
        <w:t>Centralizuotos buhalterinės apskaitos padalinio</w:t>
      </w:r>
      <w:r>
        <w:rPr>
          <w:sz w:val="24"/>
          <w:szCs w:val="24"/>
        </w:rPr>
        <w:t xml:space="preserve"> </w:t>
      </w:r>
    </w:p>
    <w:p w14:paraId="3794EE2F" w14:textId="453661A2" w:rsidR="000C2C99" w:rsidRDefault="00E2183E" w:rsidP="00E2183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2202D4">
        <w:rPr>
          <w:sz w:val="24"/>
          <w:szCs w:val="24"/>
        </w:rPr>
        <w:t>yriausioji buhalterė</w:t>
      </w:r>
      <w:r w:rsidR="0017344A" w:rsidRPr="0017344A">
        <w:rPr>
          <w:sz w:val="24"/>
          <w:szCs w:val="24"/>
        </w:rPr>
        <w:tab/>
      </w:r>
      <w:r w:rsidR="0017344A" w:rsidRPr="0017344A">
        <w:rPr>
          <w:sz w:val="24"/>
          <w:szCs w:val="24"/>
        </w:rPr>
        <w:tab/>
      </w:r>
      <w:r w:rsidR="0017344A" w:rsidRPr="0017344A">
        <w:rPr>
          <w:sz w:val="24"/>
          <w:szCs w:val="24"/>
        </w:rPr>
        <w:tab/>
      </w:r>
      <w:r w:rsidR="0017344A" w:rsidRPr="0017344A">
        <w:rPr>
          <w:sz w:val="24"/>
          <w:szCs w:val="24"/>
        </w:rPr>
        <w:tab/>
      </w:r>
      <w:r w:rsidR="0017344A" w:rsidRPr="0017344A">
        <w:rPr>
          <w:sz w:val="24"/>
          <w:szCs w:val="24"/>
        </w:rPr>
        <w:tab/>
      </w:r>
      <w:r w:rsidR="0017344A" w:rsidRPr="0017344A">
        <w:rPr>
          <w:sz w:val="24"/>
          <w:szCs w:val="24"/>
        </w:rPr>
        <w:tab/>
      </w:r>
      <w:r w:rsidR="0017344A" w:rsidRPr="0017344A">
        <w:rPr>
          <w:sz w:val="24"/>
          <w:szCs w:val="24"/>
        </w:rPr>
        <w:tab/>
        <w:t>Stanislava Vaičiulienė</w:t>
      </w:r>
    </w:p>
    <w:p w14:paraId="524C6089" w14:textId="57205C0F" w:rsidR="008021C4" w:rsidRDefault="008021C4" w:rsidP="00E2183E">
      <w:pPr>
        <w:ind w:left="426"/>
        <w:jc w:val="both"/>
        <w:rPr>
          <w:sz w:val="24"/>
          <w:szCs w:val="24"/>
        </w:rPr>
      </w:pPr>
    </w:p>
    <w:p w14:paraId="0F7881B2" w14:textId="1D143FC4" w:rsidR="008021C4" w:rsidRDefault="008021C4" w:rsidP="00E2183E">
      <w:pPr>
        <w:ind w:left="426"/>
        <w:jc w:val="both"/>
        <w:rPr>
          <w:sz w:val="24"/>
          <w:szCs w:val="24"/>
        </w:rPr>
      </w:pPr>
    </w:p>
    <w:p w14:paraId="00F12702" w14:textId="77777777" w:rsidR="008021C4" w:rsidRDefault="008021C4" w:rsidP="008021C4">
      <w:pPr>
        <w:ind w:left="426"/>
        <w:jc w:val="both"/>
        <w:rPr>
          <w:sz w:val="24"/>
          <w:szCs w:val="24"/>
        </w:rPr>
      </w:pPr>
    </w:p>
    <w:p w14:paraId="3DBC5262" w14:textId="77777777" w:rsidR="008021C4" w:rsidRDefault="008021C4" w:rsidP="008021C4">
      <w:pPr>
        <w:ind w:left="426"/>
        <w:jc w:val="both"/>
        <w:rPr>
          <w:sz w:val="24"/>
          <w:szCs w:val="24"/>
        </w:rPr>
      </w:pPr>
    </w:p>
    <w:p w14:paraId="01589C51" w14:textId="3E723086" w:rsidR="008021C4" w:rsidRPr="00177189" w:rsidRDefault="008021C4" w:rsidP="008021C4">
      <w:pPr>
        <w:ind w:left="42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Parengė: buhalterė </w:t>
      </w:r>
      <w:r w:rsidRPr="00177189">
        <w:rPr>
          <w:sz w:val="24"/>
          <w:szCs w:val="24"/>
        </w:rPr>
        <w:t>Viktorija Saročkienė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el.p</w:t>
      </w:r>
      <w:proofErr w:type="spellEnd"/>
      <w:r>
        <w:rPr>
          <w:sz w:val="24"/>
          <w:szCs w:val="24"/>
        </w:rPr>
        <w:t xml:space="preserve">.: </w:t>
      </w:r>
      <w:hyperlink r:id="rId5" w:history="1">
        <w:r w:rsidRPr="00610290">
          <w:rPr>
            <w:rStyle w:val="Hipersaitas"/>
            <w:sz w:val="24"/>
            <w:szCs w:val="24"/>
          </w:rPr>
          <w:t>viktorija.sarockiene</w:t>
        </w:r>
        <w:r w:rsidRPr="00610290">
          <w:rPr>
            <w:rStyle w:val="Hipersaitas"/>
            <w:sz w:val="24"/>
            <w:szCs w:val="24"/>
            <w:lang w:val="en-US"/>
          </w:rPr>
          <w:t>@siauliai.lt</w:t>
        </w:r>
      </w:hyperlink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</w:p>
    <w:p w14:paraId="2CDEFB3A" w14:textId="77777777" w:rsidR="008021C4" w:rsidRDefault="008021C4" w:rsidP="00E2183E">
      <w:pPr>
        <w:ind w:left="426"/>
        <w:jc w:val="both"/>
      </w:pPr>
    </w:p>
    <w:sectPr w:rsidR="008021C4" w:rsidSect="00D40B8F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04"/>
    <w:rsid w:val="00050C7A"/>
    <w:rsid w:val="000973E8"/>
    <w:rsid w:val="000C2C99"/>
    <w:rsid w:val="0017344A"/>
    <w:rsid w:val="002D240D"/>
    <w:rsid w:val="00301630"/>
    <w:rsid w:val="00321027"/>
    <w:rsid w:val="0032287B"/>
    <w:rsid w:val="003D566D"/>
    <w:rsid w:val="0050327B"/>
    <w:rsid w:val="005616B6"/>
    <w:rsid w:val="00573D4D"/>
    <w:rsid w:val="005A16F1"/>
    <w:rsid w:val="005A173B"/>
    <w:rsid w:val="005E0C47"/>
    <w:rsid w:val="00604C25"/>
    <w:rsid w:val="00690EFC"/>
    <w:rsid w:val="008021C4"/>
    <w:rsid w:val="008A3034"/>
    <w:rsid w:val="008D3D16"/>
    <w:rsid w:val="0092293D"/>
    <w:rsid w:val="0098026F"/>
    <w:rsid w:val="00A07509"/>
    <w:rsid w:val="00A559B1"/>
    <w:rsid w:val="00AB2ECE"/>
    <w:rsid w:val="00AD2A2C"/>
    <w:rsid w:val="00C81704"/>
    <w:rsid w:val="00D40B8F"/>
    <w:rsid w:val="00D91EDC"/>
    <w:rsid w:val="00D93BA8"/>
    <w:rsid w:val="00DA6EB1"/>
    <w:rsid w:val="00DF6BC4"/>
    <w:rsid w:val="00E2183E"/>
    <w:rsid w:val="00F22416"/>
    <w:rsid w:val="00F37788"/>
    <w:rsid w:val="00F61099"/>
    <w:rsid w:val="00F83E2F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60C9"/>
  <w15:chartTrackingRefBased/>
  <w15:docId w15:val="{5E361384-0BC9-44B0-81A3-2C0253DE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40B8F"/>
    <w:rPr>
      <w:color w:val="000080"/>
      <w:u w:val="single"/>
    </w:rPr>
  </w:style>
  <w:style w:type="paragraph" w:styleId="Pagrindiniotekstotrauka">
    <w:name w:val="Body Text Indent"/>
    <w:basedOn w:val="prastasis"/>
    <w:link w:val="PagrindiniotekstotraukaDiagrama"/>
    <w:rsid w:val="00D40B8F"/>
    <w:pPr>
      <w:spacing w:after="120"/>
      <w:ind w:left="283"/>
    </w:pPr>
    <w:rPr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40B8F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327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327B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orija.sarockiene@siauliai.lt" TargetMode="External"/><Relationship Id="rId4" Type="http://schemas.openxmlformats.org/officeDocument/2006/relationships/hyperlink" Target="mailto:info@siauliugalerij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2029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PC23</cp:lastModifiedBy>
  <cp:revision>20</cp:revision>
  <cp:lastPrinted>2020-10-19T08:55:00Z</cp:lastPrinted>
  <dcterms:created xsi:type="dcterms:W3CDTF">2020-10-01T12:27:00Z</dcterms:created>
  <dcterms:modified xsi:type="dcterms:W3CDTF">2020-10-23T05:35:00Z</dcterms:modified>
</cp:coreProperties>
</file>